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96" w:rsidRPr="004A0396" w:rsidRDefault="004A0396" w:rsidP="005C223C">
      <w:pPr>
        <w:jc w:val="center"/>
        <w:rPr>
          <w:b/>
          <w:sz w:val="28"/>
          <w:szCs w:val="24"/>
          <w:u w:val="single"/>
        </w:rPr>
      </w:pPr>
      <w:r w:rsidRPr="004A0396">
        <w:rPr>
          <w:b/>
          <w:sz w:val="28"/>
          <w:szCs w:val="24"/>
          <w:u w:val="single"/>
        </w:rPr>
        <w:t>PROGRAMME DE PETITES INITIATIVES POUR LES ORGANISATIONS DE LA SOCIÉTÉ CIVILE EN ARIQUE DU NORD (PPI-OSCAN)</w:t>
      </w:r>
    </w:p>
    <w:p w:rsidR="004A0396" w:rsidRDefault="004A0396" w:rsidP="005C223C">
      <w:pPr>
        <w:jc w:val="center"/>
        <w:rPr>
          <w:b/>
          <w:sz w:val="28"/>
          <w:szCs w:val="24"/>
          <w:u w:val="single"/>
        </w:rPr>
      </w:pPr>
    </w:p>
    <w:p w:rsidR="004A0396" w:rsidRPr="004A0396" w:rsidRDefault="004A0396" w:rsidP="005C223C">
      <w:pPr>
        <w:jc w:val="center"/>
        <w:rPr>
          <w:b/>
          <w:sz w:val="28"/>
          <w:szCs w:val="24"/>
          <w:u w:val="single"/>
        </w:rPr>
      </w:pPr>
      <w:r w:rsidRPr="004A0396">
        <w:rPr>
          <w:b/>
          <w:sz w:val="28"/>
          <w:szCs w:val="24"/>
          <w:u w:val="single"/>
        </w:rPr>
        <w:t>ALGÉRIE, LIBYE, MAROC ET TUNISIE</w:t>
      </w:r>
    </w:p>
    <w:p w:rsidR="004A0396" w:rsidRPr="008433B4" w:rsidRDefault="004A0396" w:rsidP="005C223C">
      <w:pPr>
        <w:jc w:val="center"/>
        <w:rPr>
          <w:b/>
          <w:sz w:val="12"/>
          <w:szCs w:val="10"/>
          <w:u w:val="single"/>
        </w:rPr>
      </w:pPr>
    </w:p>
    <w:p w:rsidR="004A0396" w:rsidRDefault="004A0396" w:rsidP="005C223C">
      <w:pPr>
        <w:jc w:val="center"/>
        <w:rPr>
          <w:b/>
          <w:u w:val="single"/>
        </w:rPr>
      </w:pPr>
    </w:p>
    <w:p w:rsidR="005C223C" w:rsidRDefault="004A0396" w:rsidP="004A0396">
      <w:pPr>
        <w:jc w:val="center"/>
        <w:rPr>
          <w:b/>
          <w:u w:val="single"/>
        </w:rPr>
      </w:pPr>
      <w:r>
        <w:rPr>
          <w:b/>
          <w:u w:val="single"/>
        </w:rPr>
        <w:t xml:space="preserve">NOTE D’INFORMATION </w:t>
      </w:r>
    </w:p>
    <w:p w:rsidR="005C223C" w:rsidRPr="008433B4" w:rsidRDefault="005C223C" w:rsidP="005C223C">
      <w:pPr>
        <w:jc w:val="center"/>
        <w:rPr>
          <w:b/>
          <w:sz w:val="8"/>
          <w:szCs w:val="6"/>
        </w:rPr>
      </w:pPr>
    </w:p>
    <w:p w:rsidR="005C223C" w:rsidRPr="00024568" w:rsidRDefault="00024568" w:rsidP="00024568">
      <w:pPr>
        <w:pStyle w:val="T6"/>
        <w:rPr>
          <w:b/>
          <w:bCs/>
        </w:rPr>
      </w:pPr>
      <w:r w:rsidRPr="00024568">
        <w:rPr>
          <w:b/>
          <w:bCs/>
        </w:rPr>
        <w:t xml:space="preserve">1 GENERALITES </w:t>
      </w:r>
    </w:p>
    <w:p w:rsidR="005C223C" w:rsidRDefault="005C223C" w:rsidP="005C223C">
      <w:pPr>
        <w:widowControl w:val="0"/>
        <w:autoSpaceDE w:val="0"/>
        <w:spacing w:before="2" w:line="130" w:lineRule="exact"/>
        <w:rPr>
          <w:sz w:val="13"/>
          <w:szCs w:val="13"/>
        </w:rPr>
      </w:pPr>
    </w:p>
    <w:tbl>
      <w:tblPr>
        <w:tblW w:w="9808" w:type="dxa"/>
        <w:tblInd w:w="-108" w:type="dxa"/>
        <w:tblLayout w:type="fixed"/>
        <w:tblCellMar>
          <w:left w:w="0" w:type="dxa"/>
          <w:right w:w="0" w:type="dxa"/>
        </w:tblCellMar>
        <w:tblLook w:val="0000"/>
      </w:tblPr>
      <w:tblGrid>
        <w:gridCol w:w="3441"/>
        <w:gridCol w:w="6308"/>
        <w:gridCol w:w="59"/>
      </w:tblGrid>
      <w:tr w:rsidR="005C223C" w:rsidTr="00540AAA">
        <w:trPr>
          <w:trHeight w:hRule="exact" w:val="384"/>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line="226" w:lineRule="exact"/>
              <w:ind w:left="54"/>
            </w:pPr>
            <w:r>
              <w:t>Dom</w:t>
            </w:r>
            <w:r>
              <w:rPr>
                <w:spacing w:val="2"/>
              </w:rPr>
              <w:t>a</w:t>
            </w:r>
            <w:r>
              <w:rPr>
                <w:spacing w:val="-1"/>
              </w:rPr>
              <w:t>i</w:t>
            </w:r>
            <w:r>
              <w:rPr>
                <w:spacing w:val="2"/>
              </w:rPr>
              <w:t>n</w:t>
            </w:r>
            <w:r>
              <w:t>e</w:t>
            </w:r>
            <w:r w:rsidR="004A0396">
              <w:t xml:space="preserve"> d’intervention</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5C223C" w:rsidP="00B95165">
            <w:pPr>
              <w:widowControl w:val="0"/>
              <w:autoSpaceDE w:val="0"/>
              <w:snapToGrid w:val="0"/>
              <w:spacing w:line="226" w:lineRule="exact"/>
              <w:ind w:left="57"/>
            </w:pPr>
            <w:r>
              <w:rPr>
                <w:spacing w:val="-1"/>
              </w:rPr>
              <w:t>Bi</w:t>
            </w:r>
            <w:r>
              <w:rPr>
                <w:spacing w:val="2"/>
              </w:rPr>
              <w:t>o</w:t>
            </w:r>
            <w:r>
              <w:t>d</w:t>
            </w:r>
            <w:r>
              <w:rPr>
                <w:spacing w:val="-1"/>
              </w:rPr>
              <w:t>i</w:t>
            </w:r>
            <w:r>
              <w:rPr>
                <w:spacing w:val="1"/>
              </w:rPr>
              <w:t>v</w:t>
            </w:r>
            <w:r>
              <w:t>e</w:t>
            </w:r>
            <w:r>
              <w:rPr>
                <w:spacing w:val="1"/>
              </w:rPr>
              <w:t>rs</w:t>
            </w:r>
            <w:r>
              <w:rPr>
                <w:spacing w:val="-1"/>
              </w:rPr>
              <w:t>i</w:t>
            </w:r>
            <w:r>
              <w:rPr>
                <w:spacing w:val="2"/>
              </w:rPr>
              <w:t>t</w:t>
            </w:r>
            <w:r>
              <w:t>é</w:t>
            </w:r>
            <w:r w:rsidR="00773591">
              <w:t xml:space="preserve">, </w:t>
            </w:r>
            <w:r w:rsidR="00B95165">
              <w:t>R</w:t>
            </w:r>
            <w:r w:rsidR="00773591">
              <w:t>essources Naturelles</w:t>
            </w:r>
            <w:r w:rsidR="004A0396">
              <w:t xml:space="preserve"> et Changement Climatique</w:t>
            </w:r>
          </w:p>
        </w:tc>
        <w:tc>
          <w:tcPr>
            <w:tcW w:w="59" w:type="dxa"/>
            <w:tcBorders>
              <w:left w:val="single" w:sz="4" w:space="0" w:color="000000"/>
            </w:tcBorders>
            <w:shd w:val="clear" w:color="auto" w:fill="auto"/>
          </w:tcPr>
          <w:p w:rsidR="005C223C" w:rsidRDefault="005C223C" w:rsidP="007928AF">
            <w:pPr>
              <w:snapToGrid w:val="0"/>
            </w:pPr>
          </w:p>
        </w:tc>
      </w:tr>
      <w:tr w:rsidR="005C223C" w:rsidTr="00890EC1">
        <w:trPr>
          <w:trHeight w:hRule="exact" w:val="2035"/>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4A0396" w:rsidP="007928AF">
            <w:pPr>
              <w:widowControl w:val="0"/>
              <w:autoSpaceDE w:val="0"/>
              <w:snapToGrid w:val="0"/>
              <w:ind w:left="54"/>
            </w:pPr>
            <w:r>
              <w:rPr>
                <w:spacing w:val="-1"/>
              </w:rPr>
              <w:t>Responsable du programme</w:t>
            </w:r>
            <w:r w:rsidR="00A06A96">
              <w:rPr>
                <w:spacing w:val="-1"/>
              </w:rPr>
              <w:t xml:space="preserve"> PPI-OSCAN</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4A0396" w:rsidP="00890EC1">
            <w:pPr>
              <w:widowControl w:val="0"/>
              <w:autoSpaceDE w:val="0"/>
              <w:snapToGrid w:val="0"/>
              <w:spacing w:before="1" w:line="237" w:lineRule="auto"/>
              <w:ind w:left="74" w:right="391"/>
              <w:rPr>
                <w:szCs w:val="22"/>
                <w:lang w:val="fr-LU"/>
              </w:rPr>
            </w:pPr>
            <w:r>
              <w:rPr>
                <w:szCs w:val="22"/>
                <w:lang w:val="fr-LU"/>
              </w:rPr>
              <w:t xml:space="preserve">Union Internationale pour la Conservation de la Nature </w:t>
            </w:r>
            <w:r w:rsidR="005C223C">
              <w:rPr>
                <w:szCs w:val="22"/>
                <w:lang w:val="fr-LU"/>
              </w:rPr>
              <w:t>Centre de Coopération pour la Méditerranée  (UICN-Med)</w:t>
            </w:r>
            <w:r w:rsidR="00C95BC9">
              <w:rPr>
                <w:szCs w:val="22"/>
                <w:lang w:val="fr-LU"/>
              </w:rPr>
              <w:t xml:space="preserve"> </w:t>
            </w:r>
          </w:p>
          <w:p w:rsidR="008E414D" w:rsidRDefault="008E414D" w:rsidP="00890EC1">
            <w:pPr>
              <w:widowControl w:val="0"/>
              <w:autoSpaceDE w:val="0"/>
              <w:snapToGrid w:val="0"/>
              <w:spacing w:before="1" w:line="237" w:lineRule="auto"/>
              <w:ind w:left="74" w:right="391"/>
              <w:rPr>
                <w:szCs w:val="22"/>
                <w:lang w:val="fr-LU"/>
              </w:rPr>
            </w:pPr>
            <w:r>
              <w:rPr>
                <w:szCs w:val="22"/>
                <w:lang w:val="fr-LU"/>
              </w:rPr>
              <w:t>Malaga (Espagne)</w:t>
            </w:r>
          </w:p>
          <w:p w:rsidR="008E414D" w:rsidRPr="008E414D" w:rsidRDefault="008E414D" w:rsidP="00890EC1">
            <w:pPr>
              <w:ind w:left="74"/>
              <w:rPr>
                <w:sz w:val="20"/>
                <w:lang w:val="fr-LU"/>
              </w:rPr>
            </w:pPr>
            <w:r w:rsidRPr="008E414D">
              <w:rPr>
                <w:sz w:val="20"/>
                <w:lang w:val="fr-LU"/>
              </w:rPr>
              <w:t xml:space="preserve">Adresse : C/Marie Curie 22, P.T.A. 29590, </w:t>
            </w:r>
            <w:proofErr w:type="spellStart"/>
            <w:r w:rsidRPr="008E414D">
              <w:rPr>
                <w:sz w:val="20"/>
                <w:lang w:val="fr-LU"/>
              </w:rPr>
              <w:t>Campanillas</w:t>
            </w:r>
            <w:proofErr w:type="spellEnd"/>
            <w:r w:rsidRPr="008E414D">
              <w:rPr>
                <w:sz w:val="20"/>
                <w:lang w:val="fr-LU"/>
              </w:rPr>
              <w:t xml:space="preserve">, Malaga, </w:t>
            </w:r>
            <w:r w:rsidR="00015998">
              <w:rPr>
                <w:sz w:val="20"/>
                <w:lang w:val="fr-LU"/>
              </w:rPr>
              <w:t>Espagne</w:t>
            </w:r>
            <w:r w:rsidRPr="008E414D">
              <w:rPr>
                <w:sz w:val="20"/>
                <w:lang w:val="fr-LU"/>
              </w:rPr>
              <w:br/>
              <w:t xml:space="preserve">Tel. +34 952 028 430 </w:t>
            </w:r>
            <w:proofErr w:type="spellStart"/>
            <w:r w:rsidRPr="008E414D">
              <w:rPr>
                <w:sz w:val="20"/>
                <w:lang w:val="fr-LU"/>
              </w:rPr>
              <w:t>ext</w:t>
            </w:r>
            <w:proofErr w:type="spellEnd"/>
            <w:r w:rsidRPr="008E414D">
              <w:rPr>
                <w:sz w:val="20"/>
                <w:lang w:val="fr-LU"/>
              </w:rPr>
              <w:t xml:space="preserve"> 305; Fax +34 952 028 145;</w:t>
            </w:r>
          </w:p>
          <w:p w:rsidR="008E414D" w:rsidRPr="008E414D" w:rsidRDefault="00F45AD3" w:rsidP="00890EC1">
            <w:pPr>
              <w:widowControl w:val="0"/>
              <w:autoSpaceDE w:val="0"/>
              <w:snapToGrid w:val="0"/>
              <w:spacing w:before="1" w:line="237" w:lineRule="auto"/>
              <w:ind w:left="74" w:right="391"/>
              <w:rPr>
                <w:sz w:val="20"/>
                <w:lang w:val="fr-LU"/>
              </w:rPr>
            </w:pPr>
            <w:hyperlink r:id="rId7" w:history="1">
              <w:r w:rsidR="008E414D" w:rsidRPr="008E414D">
                <w:rPr>
                  <w:rStyle w:val="Hyperlink"/>
                  <w:sz w:val="20"/>
                  <w:lang w:val="fr-LU"/>
                </w:rPr>
                <w:t>www.iucn.org/mediterranean</w:t>
              </w:r>
            </w:hyperlink>
          </w:p>
          <w:p w:rsidR="008E414D" w:rsidRDefault="008E414D" w:rsidP="00BB7211">
            <w:pPr>
              <w:widowControl w:val="0"/>
              <w:autoSpaceDE w:val="0"/>
              <w:snapToGrid w:val="0"/>
              <w:spacing w:before="1" w:line="237" w:lineRule="auto"/>
              <w:ind w:right="391"/>
              <w:rPr>
                <w:szCs w:val="22"/>
                <w:lang w:val="fr-LU"/>
              </w:rPr>
            </w:pP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591"/>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4A0396" w:rsidP="007928AF">
            <w:pPr>
              <w:widowControl w:val="0"/>
              <w:autoSpaceDE w:val="0"/>
              <w:snapToGrid w:val="0"/>
              <w:spacing w:line="226" w:lineRule="exact"/>
              <w:ind w:left="54"/>
            </w:pPr>
            <w:r>
              <w:t>Bénéficiaires</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Pr="004A0396" w:rsidRDefault="004A0396" w:rsidP="007928AF">
            <w:pPr>
              <w:widowControl w:val="0"/>
              <w:autoSpaceDE w:val="0"/>
              <w:snapToGrid w:val="0"/>
              <w:spacing w:line="226" w:lineRule="exact"/>
              <w:ind w:left="57"/>
              <w:rPr>
                <w:color w:val="000000"/>
              </w:rPr>
            </w:pPr>
            <w:r w:rsidRPr="004A0396">
              <w:rPr>
                <w:color w:val="000000"/>
              </w:rPr>
              <w:t>Organisations de la Société Civile en Algérie, en Libye, au Maroc</w:t>
            </w:r>
            <w:r w:rsidR="005C223C" w:rsidRPr="00414EB6">
              <w:rPr>
                <w:color w:val="000000"/>
              </w:rPr>
              <w:t xml:space="preserve"> </w:t>
            </w:r>
            <w:r w:rsidRPr="004A0396">
              <w:rPr>
                <w:color w:val="000000"/>
              </w:rPr>
              <w:t>et en Tunisie</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1616"/>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40AAA" w:rsidP="007928AF">
            <w:pPr>
              <w:widowControl w:val="0"/>
              <w:autoSpaceDE w:val="0"/>
              <w:snapToGrid w:val="0"/>
              <w:ind w:left="54"/>
            </w:pPr>
            <w:r>
              <w:t>Participation au financement</w:t>
            </w:r>
          </w:p>
        </w:tc>
        <w:tc>
          <w:tcPr>
            <w:tcW w:w="6308" w:type="dxa"/>
            <w:tcBorders>
              <w:top w:val="single" w:sz="4" w:space="0" w:color="000000"/>
              <w:left w:val="single" w:sz="4" w:space="0" w:color="000000"/>
              <w:bottom w:val="single" w:sz="4" w:space="0" w:color="000000"/>
            </w:tcBorders>
            <w:shd w:val="clear" w:color="auto" w:fill="auto"/>
            <w:vAlign w:val="center"/>
          </w:tcPr>
          <w:p w:rsidR="004A0396" w:rsidRDefault="004A0396" w:rsidP="00BB7211">
            <w:pPr>
              <w:pStyle w:val="ListParagraph"/>
              <w:numPr>
                <w:ilvl w:val="0"/>
                <w:numId w:val="2"/>
              </w:numPr>
              <w:tabs>
                <w:tab w:val="clear" w:pos="-360"/>
              </w:tabs>
              <w:snapToGrid w:val="0"/>
              <w:ind w:hanging="300"/>
              <w:rPr>
                <w:rFonts w:ascii="Arial" w:hAnsi="Arial" w:cs="Arial"/>
                <w:color w:val="000000"/>
              </w:rPr>
            </w:pPr>
            <w:r>
              <w:rPr>
                <w:rFonts w:ascii="Arial" w:hAnsi="Arial" w:cs="Arial"/>
                <w:color w:val="000000"/>
              </w:rPr>
              <w:t>Fonds Français pour l’Environnement Mondial</w:t>
            </w:r>
            <w:r w:rsidR="00540AAA">
              <w:rPr>
                <w:rFonts w:ascii="Arial" w:hAnsi="Arial" w:cs="Arial"/>
                <w:color w:val="000000"/>
              </w:rPr>
              <w:t xml:space="preserve"> (1 million d’euros)</w:t>
            </w:r>
          </w:p>
          <w:p w:rsidR="005C223C" w:rsidRDefault="005C223C" w:rsidP="00BB7211">
            <w:pPr>
              <w:pStyle w:val="ListParagraph"/>
              <w:numPr>
                <w:ilvl w:val="0"/>
                <w:numId w:val="2"/>
              </w:numPr>
              <w:tabs>
                <w:tab w:val="clear" w:pos="-360"/>
              </w:tabs>
              <w:snapToGrid w:val="0"/>
              <w:ind w:hanging="300"/>
              <w:rPr>
                <w:rFonts w:ascii="Arial" w:hAnsi="Arial" w:cs="Arial"/>
                <w:color w:val="000000"/>
              </w:rPr>
            </w:pPr>
            <w:r>
              <w:rPr>
                <w:rFonts w:ascii="Arial" w:hAnsi="Arial" w:cs="Arial"/>
                <w:color w:val="000000"/>
              </w:rPr>
              <w:t>Fondation MAVA</w:t>
            </w:r>
            <w:r w:rsidR="00540AAA">
              <w:rPr>
                <w:rFonts w:ascii="Arial" w:hAnsi="Arial" w:cs="Arial"/>
                <w:color w:val="000000"/>
              </w:rPr>
              <w:t xml:space="preserve"> (1 million d’euros)</w:t>
            </w:r>
          </w:p>
          <w:p w:rsidR="005C223C" w:rsidRDefault="005C223C" w:rsidP="00BB7211">
            <w:pPr>
              <w:pStyle w:val="ListParagraph"/>
              <w:numPr>
                <w:ilvl w:val="0"/>
                <w:numId w:val="2"/>
              </w:numPr>
              <w:tabs>
                <w:tab w:val="clear" w:pos="-360"/>
              </w:tabs>
              <w:ind w:hanging="300"/>
              <w:rPr>
                <w:rFonts w:cs="Arial"/>
              </w:rPr>
            </w:pPr>
            <w:r>
              <w:rPr>
                <w:rFonts w:ascii="Arial" w:hAnsi="Arial" w:cs="Arial"/>
                <w:lang w:val="fr-LU"/>
              </w:rPr>
              <w:t>Organisations de la Société Civile (OSC) porteuses des petits projets financés</w:t>
            </w:r>
            <w:r w:rsidRPr="00540AAA">
              <w:rPr>
                <w:rFonts w:ascii="Arial" w:hAnsi="Arial" w:cs="Arial"/>
                <w:lang w:val="fr-LU"/>
              </w:rPr>
              <w:t xml:space="preserve"> </w:t>
            </w:r>
            <w:r w:rsidR="00540AAA" w:rsidRPr="00540AAA">
              <w:rPr>
                <w:rFonts w:ascii="Arial" w:hAnsi="Arial" w:cs="Arial"/>
                <w:lang w:val="fr-LU"/>
              </w:rPr>
              <w:t>(400.080 euros)</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376"/>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4A0396">
            <w:pPr>
              <w:widowControl w:val="0"/>
              <w:autoSpaceDE w:val="0"/>
              <w:snapToGrid w:val="0"/>
              <w:spacing w:after="120" w:line="226" w:lineRule="exact"/>
              <w:ind w:left="54"/>
              <w:jc w:val="both"/>
            </w:pPr>
            <w:r>
              <w:t>Montant global du pro</w:t>
            </w:r>
            <w:r w:rsidR="004A0396">
              <w:t>gramme</w:t>
            </w:r>
          </w:p>
        </w:tc>
        <w:tc>
          <w:tcPr>
            <w:tcW w:w="6308" w:type="dxa"/>
            <w:tcBorders>
              <w:top w:val="single" w:sz="4" w:space="0" w:color="000000"/>
              <w:left w:val="single" w:sz="4" w:space="0" w:color="000000"/>
              <w:bottom w:val="single" w:sz="4" w:space="0" w:color="000000"/>
            </w:tcBorders>
            <w:shd w:val="clear" w:color="auto" w:fill="auto"/>
          </w:tcPr>
          <w:p w:rsidR="005C223C" w:rsidRDefault="005C223C" w:rsidP="007928AF">
            <w:pPr>
              <w:pStyle w:val="Header"/>
              <w:tabs>
                <w:tab w:val="left" w:pos="284"/>
              </w:tabs>
              <w:snapToGrid w:val="0"/>
              <w:spacing w:after="0"/>
              <w:rPr>
                <w:i w:val="0"/>
                <w:iCs w:val="0"/>
                <w:sz w:val="22"/>
                <w:lang w:val="es-ES"/>
              </w:rPr>
            </w:pPr>
            <w:r>
              <w:rPr>
                <w:i w:val="0"/>
                <w:iCs w:val="0"/>
                <w:sz w:val="22"/>
                <w:lang w:val="es-ES"/>
              </w:rPr>
              <w:t xml:space="preserve"> 2 400 080 €</w:t>
            </w:r>
          </w:p>
        </w:tc>
        <w:tc>
          <w:tcPr>
            <w:tcW w:w="59" w:type="dxa"/>
            <w:tcBorders>
              <w:left w:val="single" w:sz="4" w:space="0" w:color="000000"/>
            </w:tcBorders>
            <w:shd w:val="clear" w:color="auto" w:fill="auto"/>
          </w:tcPr>
          <w:p w:rsidR="005C223C" w:rsidRDefault="005C223C" w:rsidP="007928AF">
            <w:pPr>
              <w:snapToGrid w:val="0"/>
            </w:pPr>
          </w:p>
        </w:tc>
      </w:tr>
      <w:tr w:rsidR="005C223C" w:rsidTr="00540AAA">
        <w:trPr>
          <w:trHeight w:hRule="exact" w:val="383"/>
        </w:trPr>
        <w:tc>
          <w:tcPr>
            <w:tcW w:w="3441"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line="226" w:lineRule="exact"/>
              <w:ind w:left="54"/>
            </w:pPr>
            <w:r>
              <w:t>Du</w:t>
            </w:r>
            <w:r>
              <w:rPr>
                <w:spacing w:val="1"/>
              </w:rPr>
              <w:t>r</w:t>
            </w:r>
            <w:r>
              <w:t>ée</w:t>
            </w:r>
            <w:r>
              <w:rPr>
                <w:spacing w:val="-1"/>
              </w:rPr>
              <w:t xml:space="preserve"> </w:t>
            </w:r>
            <w:r>
              <w:t>du p</w:t>
            </w:r>
            <w:r>
              <w:rPr>
                <w:spacing w:val="1"/>
              </w:rPr>
              <w:t>r</w:t>
            </w:r>
            <w:r>
              <w:rPr>
                <w:spacing w:val="2"/>
              </w:rPr>
              <w:t>o</w:t>
            </w:r>
            <w:r>
              <w:rPr>
                <w:spacing w:val="-3"/>
              </w:rPr>
              <w:t>j</w:t>
            </w:r>
            <w:r>
              <w:t>et</w:t>
            </w:r>
          </w:p>
        </w:tc>
        <w:tc>
          <w:tcPr>
            <w:tcW w:w="6308"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line="226" w:lineRule="exact"/>
              <w:ind w:left="57"/>
            </w:pPr>
            <w:r>
              <w:t>3</w:t>
            </w:r>
            <w:r>
              <w:rPr>
                <w:spacing w:val="1"/>
              </w:rPr>
              <w:t xml:space="preserve"> </w:t>
            </w:r>
            <w:r>
              <w:t>ans</w:t>
            </w:r>
            <w:r w:rsidR="004A0396">
              <w:t xml:space="preserve"> (2014-2016)</w:t>
            </w:r>
          </w:p>
        </w:tc>
        <w:tc>
          <w:tcPr>
            <w:tcW w:w="59" w:type="dxa"/>
            <w:tcBorders>
              <w:left w:val="single" w:sz="4" w:space="0" w:color="000000"/>
            </w:tcBorders>
            <w:shd w:val="clear" w:color="auto" w:fill="auto"/>
          </w:tcPr>
          <w:p w:rsidR="005C223C" w:rsidRDefault="005C223C" w:rsidP="007928AF">
            <w:pPr>
              <w:snapToGrid w:val="0"/>
            </w:pPr>
          </w:p>
        </w:tc>
      </w:tr>
    </w:tbl>
    <w:p w:rsidR="005C223C" w:rsidRDefault="005C223C" w:rsidP="005C223C">
      <w:pPr>
        <w:widowControl w:val="0"/>
        <w:autoSpaceDE w:val="0"/>
        <w:spacing w:before="8" w:line="100" w:lineRule="exact"/>
        <w:rPr>
          <w:rFonts w:ascii="Times New Roman" w:hAnsi="Times New Roman" w:cs="Times New Roman"/>
          <w:sz w:val="10"/>
          <w:szCs w:val="10"/>
        </w:rPr>
      </w:pPr>
    </w:p>
    <w:p w:rsidR="005C223C" w:rsidRPr="00024568" w:rsidRDefault="00024568" w:rsidP="00024568">
      <w:pPr>
        <w:pStyle w:val="T6"/>
        <w:rPr>
          <w:b/>
          <w:bCs/>
        </w:rPr>
      </w:pPr>
      <w:r w:rsidRPr="00024568">
        <w:rPr>
          <w:b/>
          <w:bCs/>
        </w:rPr>
        <w:t>2. CADRE GENERAL DU PROGRAMME</w:t>
      </w:r>
    </w:p>
    <w:p w:rsidR="005C223C" w:rsidRDefault="005C223C" w:rsidP="002F4CCB">
      <w:pPr>
        <w:pStyle w:val="ps"/>
      </w:pPr>
      <w:r>
        <w:t xml:space="preserve">Le projet PPI-OSCAN a pour objectif le renforcement de jeunes Organisations de la Société Civile (OSC) en </w:t>
      </w:r>
      <w:r w:rsidRPr="00414EB6">
        <w:t>Algérie</w:t>
      </w:r>
      <w:r>
        <w:t xml:space="preserve">, en Libye, au Maroc et en </w:t>
      </w:r>
      <w:r w:rsidRPr="00957B70">
        <w:t>Tunisie</w:t>
      </w:r>
      <w:r>
        <w:t xml:space="preserve"> dans le domaine de l'environnement à travers le financement de plusieurs petits projets et des actions de renforcement des capacités. Ce programme, cofinancé par la </w:t>
      </w:r>
      <w:r w:rsidR="002F4CCB">
        <w:t>F</w:t>
      </w:r>
      <w:r>
        <w:t>ondation MAVA</w:t>
      </w:r>
      <w:r w:rsidR="00540AAA">
        <w:t xml:space="preserve"> et le Fonds Français pour l’Environnement Mondial</w:t>
      </w:r>
      <w:r w:rsidR="00DF1B72">
        <w:t xml:space="preserve"> (FFEM)</w:t>
      </w:r>
      <w:r>
        <w:t>, sera mis en œuvre par l</w:t>
      </w:r>
      <w:r w:rsidR="002F4CCB">
        <w:t>e Centre de Coopération pour la Méditerranée de l’UICN (</w:t>
      </w:r>
      <w:r>
        <w:t>UICN-Med</w:t>
      </w:r>
      <w:r w:rsidR="002F4CCB">
        <w:t>)</w:t>
      </w:r>
      <w:r>
        <w:t>.</w:t>
      </w:r>
    </w:p>
    <w:p w:rsidR="005C223C" w:rsidRPr="00024568" w:rsidRDefault="00024568" w:rsidP="00DF1B72">
      <w:pPr>
        <w:pStyle w:val="T6"/>
        <w:rPr>
          <w:b/>
          <w:bCs/>
        </w:rPr>
      </w:pPr>
      <w:r w:rsidRPr="00024568">
        <w:rPr>
          <w:b/>
          <w:bCs/>
        </w:rPr>
        <w:t xml:space="preserve">3. </w:t>
      </w:r>
      <w:r w:rsidR="00DF1B72">
        <w:rPr>
          <w:b/>
          <w:bCs/>
        </w:rPr>
        <w:t>PRESENTATION DU PROGRAMME</w:t>
      </w:r>
    </w:p>
    <w:p w:rsidR="005C223C" w:rsidRDefault="005C223C" w:rsidP="00024568">
      <w:pPr>
        <w:pStyle w:val="T6"/>
        <w:numPr>
          <w:ilvl w:val="0"/>
          <w:numId w:val="7"/>
        </w:numPr>
      </w:pPr>
      <w:r>
        <w:t>Con</w:t>
      </w:r>
      <w:r>
        <w:rPr>
          <w:spacing w:val="2"/>
        </w:rPr>
        <w:t>t</w:t>
      </w:r>
      <w:r>
        <w:t>e</w:t>
      </w:r>
      <w:r>
        <w:rPr>
          <w:spacing w:val="1"/>
        </w:rPr>
        <w:t>x</w:t>
      </w:r>
      <w:r>
        <w:rPr>
          <w:spacing w:val="2"/>
        </w:rPr>
        <w:t>t</w:t>
      </w:r>
      <w:r>
        <w:t>e</w:t>
      </w:r>
      <w:r>
        <w:rPr>
          <w:spacing w:val="-2"/>
        </w:rPr>
        <w:t xml:space="preserve"> </w:t>
      </w:r>
      <w:r>
        <w:t>du p</w:t>
      </w:r>
      <w:r>
        <w:rPr>
          <w:spacing w:val="1"/>
        </w:rPr>
        <w:t>r</w:t>
      </w:r>
      <w:r>
        <w:t>o</w:t>
      </w:r>
      <w:r>
        <w:rPr>
          <w:spacing w:val="-3"/>
        </w:rPr>
        <w:t>j</w:t>
      </w:r>
      <w:r>
        <w:t>et</w:t>
      </w:r>
    </w:p>
    <w:p w:rsidR="005C223C" w:rsidRDefault="005C223C" w:rsidP="005C223C">
      <w:pPr>
        <w:pStyle w:val="ps"/>
      </w:pPr>
      <w:r>
        <w:lastRenderedPageBreak/>
        <w:t xml:space="preserve">Comme dans le reste de la région méditerranéenne, les enjeux environnementaux sont nombreux dans les quatre pays d’Afrique du Nord (l’Algérie, la Libye, le Maroc et la </w:t>
      </w:r>
      <w:r w:rsidRPr="00957B70">
        <w:t>Tunisie</w:t>
      </w:r>
      <w:r>
        <w:t>) qui abritent d’importantes richesses en termes de biodiversité et de ressources naturelles. Ces richesses sont menacées par plusieurs facteurs, notamment par l’intensification du tourisme et la croissance démographique, entraînant une surexploitation des ressources naturelles et une pression de plus en plus forte sur les écosystèmes à laquelle s’ajoutent les effets du changement climatique.</w:t>
      </w:r>
    </w:p>
    <w:p w:rsidR="005C223C" w:rsidRDefault="005C223C" w:rsidP="005C223C">
      <w:pPr>
        <w:pStyle w:val="ps"/>
      </w:pPr>
      <w:r>
        <w:t xml:space="preserve">Trouver des solutions durables à ces défis exige une action concertée de tous les acteurs concernés, mais surtout des </w:t>
      </w:r>
      <w:r>
        <w:rPr>
          <w:b/>
        </w:rPr>
        <w:t>organisations de la société civile</w:t>
      </w:r>
      <w:r>
        <w:t xml:space="preserve"> dont le nombre est en nette expansion, sous l’effet des ouvertures politiques opérés dans ces pays vers plus de démocratie et de participation de la société civile.</w:t>
      </w:r>
    </w:p>
    <w:p w:rsidR="00165C7F" w:rsidRPr="00165C7F" w:rsidRDefault="00165C7F" w:rsidP="00165C7F">
      <w:pPr>
        <w:pStyle w:val="ps"/>
        <w:spacing w:before="0"/>
        <w:rPr>
          <w:sz w:val="8"/>
          <w:szCs w:val="8"/>
        </w:rPr>
      </w:pPr>
    </w:p>
    <w:p w:rsidR="005C223C" w:rsidRDefault="005C223C" w:rsidP="00DF1B72">
      <w:pPr>
        <w:pStyle w:val="ps"/>
        <w:spacing w:before="0"/>
      </w:pPr>
      <w:r>
        <w:t>Le besoin en renforcement des capacités des OSC est évident et de plus en plus urgent dans ces quatre pays pour que la société civile puisse jouer un rôle plus important en matière de préservation de la biodiversité, de gestion des ressources naturelle ou de lutte contre le changement climatique en complément à l’action des institutions publiques. La jeunesse, l’enthousiasme et la motivation des adhérents actifs dans les associations maghrébines constituent des facteurs favorables et un potentiel à exploiter à travers des formations et de l’accompagnement pour rehausser la performance et l’efficience des organisations de la société civile dans la région.</w:t>
      </w:r>
    </w:p>
    <w:p w:rsidR="00165C7F" w:rsidRPr="00165C7F" w:rsidRDefault="00165C7F" w:rsidP="00165C7F">
      <w:pPr>
        <w:pStyle w:val="ps"/>
        <w:spacing w:before="0"/>
        <w:rPr>
          <w:sz w:val="8"/>
          <w:szCs w:val="8"/>
        </w:rPr>
      </w:pPr>
    </w:p>
    <w:p w:rsidR="005C223C" w:rsidRDefault="005C223C" w:rsidP="00165C7F">
      <w:pPr>
        <w:pStyle w:val="ps"/>
        <w:spacing w:before="0"/>
      </w:pPr>
      <w:r>
        <w:t>Le programme PPI-OSCAN s’inspire des Programmes des Petites Initiatives (PPI) financés par le FFEM en Afrique sub-saharienne depuis 2005 avec lequel il présente une forte similitude dans l’approche, le contenu technique et le montage institutionnel et opérationnel. Il tient compte cependant des spécificités du contexte des quatre pays.</w:t>
      </w:r>
    </w:p>
    <w:p w:rsidR="005C223C" w:rsidRDefault="005C223C" w:rsidP="00024568">
      <w:pPr>
        <w:pStyle w:val="T6"/>
        <w:numPr>
          <w:ilvl w:val="0"/>
          <w:numId w:val="7"/>
        </w:numPr>
      </w:pPr>
      <w:r>
        <w:t>Objectif du projet</w:t>
      </w:r>
    </w:p>
    <w:p w:rsidR="005C223C" w:rsidRDefault="005C223C" w:rsidP="00DF1B72">
      <w:pPr>
        <w:pStyle w:val="ps"/>
      </w:pPr>
      <w:r>
        <w:rPr>
          <w:rFonts w:eastAsia="Times New Roman"/>
        </w:rPr>
        <w:t>L’objectif général d</w:t>
      </w:r>
      <w:r>
        <w:t>u</w:t>
      </w:r>
      <w:r>
        <w:rPr>
          <w:rFonts w:eastAsia="Times New Roman"/>
        </w:rPr>
        <w:t xml:space="preserve"> programme est de renforcer </w:t>
      </w:r>
      <w:r w:rsidR="005510D8">
        <w:rPr>
          <w:rFonts w:eastAsia="Times New Roman"/>
        </w:rPr>
        <w:t>les capacités techniques, administratives et</w:t>
      </w:r>
      <w:r w:rsidR="005510D8">
        <w:t xml:space="preserve"> </w:t>
      </w:r>
      <w:r w:rsidR="005510D8">
        <w:rPr>
          <w:rFonts w:eastAsia="Times New Roman"/>
        </w:rPr>
        <w:t xml:space="preserve">financières </w:t>
      </w:r>
      <w:r>
        <w:rPr>
          <w:rFonts w:eastAsia="Times New Roman"/>
        </w:rPr>
        <w:t>des OSC émergentes de quatre pays d’Afrique du Nord pour qu’elles soient en mesure de développer, à court terme, des initiatives concrètes de</w:t>
      </w:r>
      <w:r>
        <w:t xml:space="preserve"> </w:t>
      </w:r>
      <w:r>
        <w:rPr>
          <w:rFonts w:eastAsia="Times New Roman"/>
        </w:rPr>
        <w:t xml:space="preserve">terrain et qu’elles soient à même, à plus long terme, de contribuer à la mise en </w:t>
      </w:r>
      <w:r>
        <w:t>œuvre</w:t>
      </w:r>
      <w:r>
        <w:rPr>
          <w:rFonts w:eastAsia="Times New Roman"/>
        </w:rPr>
        <w:t xml:space="preserve"> de stratégies</w:t>
      </w:r>
      <w:r>
        <w:t xml:space="preserve"> </w:t>
      </w:r>
      <w:r>
        <w:rPr>
          <w:rFonts w:eastAsia="Times New Roman"/>
        </w:rPr>
        <w:t>et de plans d’actions nationaux de conservation et valorisation de la biodiversité, de gestion durable</w:t>
      </w:r>
      <w:r>
        <w:t xml:space="preserve"> </w:t>
      </w:r>
      <w:r>
        <w:rPr>
          <w:rFonts w:eastAsia="Times New Roman"/>
        </w:rPr>
        <w:t>des ressources naturelles</w:t>
      </w:r>
      <w:r w:rsidR="00DF1B72">
        <w:rPr>
          <w:rFonts w:eastAsia="Times New Roman"/>
        </w:rPr>
        <w:t xml:space="preserve"> et d’adaptation au changement climatique</w:t>
      </w:r>
      <w:r>
        <w:t>.</w:t>
      </w:r>
    </w:p>
    <w:p w:rsidR="005C223C" w:rsidRDefault="005C223C" w:rsidP="00024568">
      <w:pPr>
        <w:pStyle w:val="T6"/>
        <w:numPr>
          <w:ilvl w:val="0"/>
          <w:numId w:val="7"/>
        </w:numPr>
      </w:pPr>
      <w:r>
        <w:t>Résultats et impact</w:t>
      </w:r>
      <w:r w:rsidR="00DF1B72">
        <w:t>s</w:t>
      </w:r>
      <w:r>
        <w:t xml:space="preserve"> attendus</w:t>
      </w:r>
    </w:p>
    <w:p w:rsidR="005C223C" w:rsidRDefault="005C223C" w:rsidP="005C223C">
      <w:pPr>
        <w:pStyle w:val="ps"/>
        <w:rPr>
          <w:rFonts w:eastAsia="Times New Roman"/>
        </w:rPr>
      </w:pPr>
      <w:r>
        <w:rPr>
          <w:rFonts w:eastAsia="Times New Roman"/>
        </w:rPr>
        <w:t>Le programme PPI-OSCAN est centré autour de</w:t>
      </w:r>
      <w:r>
        <w:t>s</w:t>
      </w:r>
      <w:r>
        <w:rPr>
          <w:rFonts w:eastAsia="Times New Roman"/>
        </w:rPr>
        <w:t xml:space="preserve"> quatre objectifs </w:t>
      </w:r>
      <w:r>
        <w:t>suivants</w:t>
      </w:r>
      <w:r>
        <w:rPr>
          <w:rFonts w:eastAsia="Times New Roman"/>
        </w:rPr>
        <w:t xml:space="preserve"> :</w:t>
      </w:r>
    </w:p>
    <w:p w:rsidR="005C223C" w:rsidRDefault="005C223C" w:rsidP="00DF1B72">
      <w:pPr>
        <w:pStyle w:val="ps"/>
        <w:numPr>
          <w:ilvl w:val="0"/>
          <w:numId w:val="1"/>
        </w:numPr>
      </w:pPr>
      <w:r>
        <w:rPr>
          <w:rFonts w:eastAsia="Times New Roman"/>
        </w:rPr>
        <w:t>soutenir des projets de terrain liés à la conservation et valorisation de la biodiversité, la</w:t>
      </w:r>
      <w:r>
        <w:t xml:space="preserve"> </w:t>
      </w:r>
      <w:r>
        <w:rPr>
          <w:rFonts w:eastAsia="Times New Roman"/>
        </w:rPr>
        <w:t xml:space="preserve">gestion durable des ressources naturelles et </w:t>
      </w:r>
      <w:r w:rsidR="00DF1B72">
        <w:rPr>
          <w:rFonts w:eastAsia="Times New Roman"/>
        </w:rPr>
        <w:t xml:space="preserve">la </w:t>
      </w:r>
      <w:r>
        <w:rPr>
          <w:rFonts w:eastAsia="Times New Roman"/>
        </w:rPr>
        <w:t xml:space="preserve">lutte contre le </w:t>
      </w:r>
      <w:r w:rsidR="00906980">
        <w:t xml:space="preserve">changement climatique. </w:t>
      </w:r>
      <w:r>
        <w:t>Le programme prévoit le financement d'environ 40 petits projets portés par de jeunes OSC des quatre pays bénéficiaires</w:t>
      </w:r>
      <w:r w:rsidR="00BB7211">
        <w:t xml:space="preserve"> (</w:t>
      </w:r>
      <w:r w:rsidR="00BB7211" w:rsidRPr="00906980">
        <w:rPr>
          <w:b/>
          <w:bCs/>
        </w:rPr>
        <w:t>10 projets par pays</w:t>
      </w:r>
      <w:r w:rsidR="00BB7211">
        <w:t>)</w:t>
      </w:r>
      <w:r>
        <w:t>.</w:t>
      </w:r>
      <w:r w:rsidR="00906980">
        <w:t xml:space="preserve"> </w:t>
      </w:r>
      <w:r w:rsidR="00906980" w:rsidRPr="00906980">
        <w:rPr>
          <w:b/>
          <w:bCs/>
        </w:rPr>
        <w:t xml:space="preserve">Le montant de la subvention par projet sera </w:t>
      </w:r>
      <w:r w:rsidR="005510D8">
        <w:rPr>
          <w:b/>
          <w:bCs/>
        </w:rPr>
        <w:t xml:space="preserve">compris </w:t>
      </w:r>
      <w:r w:rsidR="00906980">
        <w:rPr>
          <w:b/>
          <w:bCs/>
        </w:rPr>
        <w:t>entre</w:t>
      </w:r>
      <w:r w:rsidR="00906980" w:rsidRPr="00906980">
        <w:rPr>
          <w:b/>
          <w:bCs/>
        </w:rPr>
        <w:t xml:space="preserve"> 10.000 et 30.000 €</w:t>
      </w:r>
      <w:r w:rsidR="00906980">
        <w:t> ;</w:t>
      </w:r>
    </w:p>
    <w:p w:rsidR="005C223C" w:rsidRDefault="005C223C" w:rsidP="00BB7211">
      <w:pPr>
        <w:pStyle w:val="ps"/>
        <w:numPr>
          <w:ilvl w:val="0"/>
          <w:numId w:val="1"/>
        </w:numPr>
      </w:pPr>
      <w:r>
        <w:rPr>
          <w:rFonts w:eastAsia="Times New Roman"/>
        </w:rPr>
        <w:t>renforcer les capacités administratives, financières et techniques des OSC</w:t>
      </w:r>
      <w:r>
        <w:t xml:space="preserve"> à travers des actions de formation et un accompagnement à la mise en œuvre des petits projets ;</w:t>
      </w:r>
    </w:p>
    <w:p w:rsidR="005C223C" w:rsidRDefault="005C223C" w:rsidP="00BB7211">
      <w:pPr>
        <w:pStyle w:val="ps"/>
        <w:numPr>
          <w:ilvl w:val="0"/>
          <w:numId w:val="1"/>
        </w:numPr>
        <w:rPr>
          <w:rFonts w:eastAsia="Times New Roman"/>
        </w:rPr>
      </w:pPr>
      <w:r>
        <w:rPr>
          <w:rFonts w:eastAsia="Times New Roman"/>
        </w:rPr>
        <w:t>favoriser la mise en réseau des OSC et leur participation dans les espaces de dialogu</w:t>
      </w:r>
      <w:r>
        <w:t xml:space="preserve">e </w:t>
      </w:r>
      <w:r>
        <w:rPr>
          <w:rFonts w:eastAsia="Times New Roman"/>
        </w:rPr>
        <w:t>avec les gouvernements;</w:t>
      </w:r>
    </w:p>
    <w:p w:rsidR="005C223C" w:rsidRDefault="005C223C" w:rsidP="00DF1B72">
      <w:pPr>
        <w:pStyle w:val="ps"/>
        <w:numPr>
          <w:ilvl w:val="0"/>
          <w:numId w:val="1"/>
        </w:numPr>
        <w:rPr>
          <w:rFonts w:eastAsia="Times New Roman"/>
        </w:rPr>
      </w:pPr>
      <w:r>
        <w:rPr>
          <w:rFonts w:eastAsia="Times New Roman"/>
        </w:rPr>
        <w:t xml:space="preserve">capitaliser et diffuser les expériences </w:t>
      </w:r>
      <w:r w:rsidR="00DF1B72">
        <w:rPr>
          <w:rFonts w:eastAsia="Times New Roman"/>
        </w:rPr>
        <w:t xml:space="preserve">à l’échelle </w:t>
      </w:r>
      <w:r>
        <w:rPr>
          <w:rFonts w:eastAsia="Times New Roman"/>
        </w:rPr>
        <w:t>nationale et régionale.</w:t>
      </w:r>
    </w:p>
    <w:p w:rsidR="005C223C" w:rsidRDefault="00024568" w:rsidP="00024568">
      <w:pPr>
        <w:pStyle w:val="T6"/>
        <w:numPr>
          <w:ilvl w:val="0"/>
          <w:numId w:val="7"/>
        </w:numPr>
      </w:pPr>
      <w:r>
        <w:t>P</w:t>
      </w:r>
      <w:r w:rsidRPr="00024568">
        <w:t xml:space="preserve">articipation financière au </w:t>
      </w:r>
      <w:r>
        <w:t>PPI-OSCAN</w:t>
      </w:r>
    </w:p>
    <w:tbl>
      <w:tblPr>
        <w:tblW w:w="9864" w:type="dxa"/>
        <w:tblInd w:w="-5" w:type="dxa"/>
        <w:tblLayout w:type="fixed"/>
        <w:tblLook w:val="0000"/>
      </w:tblPr>
      <w:tblGrid>
        <w:gridCol w:w="3375"/>
        <w:gridCol w:w="3112"/>
        <w:gridCol w:w="3377"/>
      </w:tblGrid>
      <w:tr w:rsidR="005C223C" w:rsidTr="007928AF">
        <w:tc>
          <w:tcPr>
            <w:tcW w:w="3375" w:type="dxa"/>
            <w:tcBorders>
              <w:top w:val="single" w:sz="4" w:space="0" w:color="000000"/>
              <w:left w:val="single" w:sz="4" w:space="0" w:color="000000"/>
              <w:bottom w:val="single" w:sz="4" w:space="0" w:color="000000"/>
            </w:tcBorders>
            <w:shd w:val="clear" w:color="auto" w:fill="E5E5E5"/>
          </w:tcPr>
          <w:p w:rsidR="005C223C" w:rsidRDefault="005C223C" w:rsidP="007928AF">
            <w:pPr>
              <w:widowControl w:val="0"/>
              <w:autoSpaceDE w:val="0"/>
              <w:snapToGrid w:val="0"/>
              <w:spacing w:before="40" w:after="120" w:line="219" w:lineRule="exact"/>
              <w:ind w:left="1128" w:right="1149"/>
              <w:jc w:val="both"/>
              <w:rPr>
                <w:b/>
                <w:bCs/>
                <w:spacing w:val="-2"/>
                <w:w w:val="99"/>
                <w:sz w:val="20"/>
              </w:rPr>
            </w:pPr>
            <w:r>
              <w:rPr>
                <w:b/>
                <w:bCs/>
                <w:w w:val="99"/>
                <w:sz w:val="20"/>
              </w:rPr>
              <w:lastRenderedPageBreak/>
              <w:t>Ba</w:t>
            </w:r>
            <w:r>
              <w:rPr>
                <w:b/>
                <w:bCs/>
                <w:spacing w:val="2"/>
                <w:w w:val="99"/>
                <w:sz w:val="20"/>
              </w:rPr>
              <w:t>i</w:t>
            </w:r>
            <w:r>
              <w:rPr>
                <w:b/>
                <w:bCs/>
                <w:w w:val="99"/>
                <w:sz w:val="20"/>
              </w:rPr>
              <w:t>ll</w:t>
            </w:r>
            <w:r>
              <w:rPr>
                <w:b/>
                <w:bCs/>
                <w:spacing w:val="2"/>
                <w:w w:val="99"/>
                <w:sz w:val="20"/>
              </w:rPr>
              <w:t>e</w:t>
            </w:r>
            <w:r>
              <w:rPr>
                <w:b/>
                <w:bCs/>
                <w:spacing w:val="-2"/>
                <w:w w:val="99"/>
                <w:sz w:val="20"/>
              </w:rPr>
              <w:t>urs</w:t>
            </w:r>
          </w:p>
        </w:tc>
        <w:tc>
          <w:tcPr>
            <w:tcW w:w="3112" w:type="dxa"/>
            <w:tcBorders>
              <w:top w:val="single" w:sz="4" w:space="0" w:color="000000"/>
              <w:left w:val="single" w:sz="4" w:space="0" w:color="000000"/>
              <w:bottom w:val="single" w:sz="4" w:space="0" w:color="000000"/>
            </w:tcBorders>
            <w:shd w:val="clear" w:color="auto" w:fill="E5E5E5"/>
          </w:tcPr>
          <w:p w:rsidR="005C223C" w:rsidRDefault="005C223C" w:rsidP="007928AF">
            <w:pPr>
              <w:widowControl w:val="0"/>
              <w:autoSpaceDE w:val="0"/>
              <w:snapToGrid w:val="0"/>
              <w:spacing w:before="40" w:after="120" w:line="219" w:lineRule="exact"/>
              <w:ind w:left="1045"/>
              <w:jc w:val="both"/>
              <w:rPr>
                <w:b/>
                <w:bCs/>
                <w:sz w:val="20"/>
              </w:rPr>
            </w:pPr>
            <w:r>
              <w:rPr>
                <w:b/>
                <w:bCs/>
                <w:sz w:val="20"/>
              </w:rPr>
              <w:t>M</w:t>
            </w:r>
            <w:r>
              <w:rPr>
                <w:b/>
                <w:bCs/>
                <w:spacing w:val="1"/>
                <w:sz w:val="20"/>
              </w:rPr>
              <w:t>o</w:t>
            </w:r>
            <w:r>
              <w:rPr>
                <w:b/>
                <w:bCs/>
                <w:spacing w:val="-2"/>
                <w:sz w:val="20"/>
              </w:rPr>
              <w:t>n</w:t>
            </w:r>
            <w:r>
              <w:rPr>
                <w:b/>
                <w:bCs/>
                <w:spacing w:val="1"/>
                <w:sz w:val="20"/>
              </w:rPr>
              <w:t>t</w:t>
            </w:r>
            <w:r>
              <w:rPr>
                <w:b/>
                <w:bCs/>
                <w:spacing w:val="2"/>
                <w:sz w:val="20"/>
              </w:rPr>
              <w:t>a</w:t>
            </w:r>
            <w:r>
              <w:rPr>
                <w:b/>
                <w:bCs/>
                <w:spacing w:val="-2"/>
                <w:sz w:val="20"/>
              </w:rPr>
              <w:t>n</w:t>
            </w:r>
            <w:r>
              <w:rPr>
                <w:b/>
                <w:bCs/>
                <w:sz w:val="20"/>
              </w:rPr>
              <w:t>t</w:t>
            </w:r>
            <w:r>
              <w:rPr>
                <w:b/>
                <w:bCs/>
                <w:spacing w:val="1"/>
                <w:sz w:val="20"/>
              </w:rPr>
              <w:t xml:space="preserve"> (</w:t>
            </w:r>
            <w:r>
              <w:rPr>
                <w:b/>
                <w:bCs/>
                <w:sz w:val="20"/>
              </w:rPr>
              <w:t>€)</w:t>
            </w:r>
          </w:p>
        </w:tc>
        <w:tc>
          <w:tcPr>
            <w:tcW w:w="3377" w:type="dxa"/>
            <w:tcBorders>
              <w:top w:val="single" w:sz="4" w:space="0" w:color="000000"/>
              <w:left w:val="single" w:sz="4" w:space="0" w:color="000000"/>
              <w:bottom w:val="single" w:sz="4" w:space="0" w:color="000000"/>
              <w:right w:val="single" w:sz="4" w:space="0" w:color="000000"/>
            </w:tcBorders>
            <w:shd w:val="clear" w:color="auto" w:fill="E5E5E5"/>
          </w:tcPr>
          <w:p w:rsidR="005C223C" w:rsidRDefault="005C223C" w:rsidP="007928AF">
            <w:pPr>
              <w:widowControl w:val="0"/>
              <w:autoSpaceDE w:val="0"/>
              <w:snapToGrid w:val="0"/>
              <w:spacing w:before="40" w:after="120" w:line="219" w:lineRule="exact"/>
              <w:ind w:left="983"/>
              <w:jc w:val="both"/>
              <w:rPr>
                <w:b/>
                <w:bCs/>
                <w:sz w:val="20"/>
              </w:rPr>
            </w:pPr>
            <w:r>
              <w:rPr>
                <w:b/>
                <w:bCs/>
                <w:spacing w:val="-1"/>
                <w:sz w:val="20"/>
              </w:rPr>
              <w:t>P</w:t>
            </w:r>
            <w:r>
              <w:rPr>
                <w:b/>
                <w:bCs/>
                <w:spacing w:val="1"/>
                <w:sz w:val="20"/>
              </w:rPr>
              <w:t>o</w:t>
            </w:r>
            <w:r>
              <w:rPr>
                <w:b/>
                <w:bCs/>
                <w:spacing w:val="-2"/>
                <w:sz w:val="20"/>
              </w:rPr>
              <w:t>u</w:t>
            </w:r>
            <w:r>
              <w:rPr>
                <w:b/>
                <w:bCs/>
                <w:spacing w:val="2"/>
                <w:sz w:val="20"/>
              </w:rPr>
              <w:t>rc</w:t>
            </w:r>
            <w:r>
              <w:rPr>
                <w:b/>
                <w:bCs/>
                <w:sz w:val="20"/>
              </w:rPr>
              <w:t>e</w:t>
            </w:r>
            <w:r>
              <w:rPr>
                <w:b/>
                <w:bCs/>
                <w:spacing w:val="-2"/>
                <w:sz w:val="20"/>
              </w:rPr>
              <w:t>n</w:t>
            </w:r>
            <w:r>
              <w:rPr>
                <w:b/>
                <w:bCs/>
                <w:spacing w:val="3"/>
                <w:sz w:val="20"/>
              </w:rPr>
              <w:t>t</w:t>
            </w:r>
            <w:r>
              <w:rPr>
                <w:b/>
                <w:bCs/>
                <w:sz w:val="20"/>
              </w:rPr>
              <w:t>a</w:t>
            </w:r>
            <w:r>
              <w:rPr>
                <w:b/>
                <w:bCs/>
                <w:spacing w:val="1"/>
                <w:sz w:val="20"/>
              </w:rPr>
              <w:t>g</w:t>
            </w:r>
            <w:r>
              <w:rPr>
                <w:b/>
                <w:bCs/>
                <w:sz w:val="20"/>
              </w:rPr>
              <w:t>e</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after="120" w:line="219" w:lineRule="exact"/>
              <w:ind w:left="102"/>
              <w:rPr>
                <w:bCs/>
                <w:sz w:val="20"/>
              </w:rPr>
            </w:pPr>
            <w:r>
              <w:rPr>
                <w:bCs/>
                <w:spacing w:val="1"/>
                <w:sz w:val="20"/>
              </w:rPr>
              <w:t>F</w:t>
            </w:r>
            <w:r>
              <w:rPr>
                <w:bCs/>
                <w:spacing w:val="-2"/>
                <w:sz w:val="20"/>
              </w:rPr>
              <w:t>F</w:t>
            </w:r>
            <w:r>
              <w:rPr>
                <w:bCs/>
                <w:spacing w:val="2"/>
                <w:sz w:val="20"/>
              </w:rPr>
              <w:t>E</w:t>
            </w:r>
            <w:r>
              <w:rPr>
                <w:bCs/>
                <w:sz w:val="20"/>
              </w:rPr>
              <w:t>M</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5C223C" w:rsidP="00307F2E">
            <w:pPr>
              <w:widowControl w:val="0"/>
              <w:autoSpaceDE w:val="0"/>
              <w:snapToGrid w:val="0"/>
              <w:spacing w:before="40" w:after="120" w:line="226" w:lineRule="exact"/>
              <w:ind w:left="1183" w:right="1209"/>
              <w:jc w:val="center"/>
              <w:rPr>
                <w:sz w:val="20"/>
              </w:rPr>
            </w:pPr>
            <w:r>
              <w:rPr>
                <w:sz w:val="20"/>
              </w:rPr>
              <w:t>1M€</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Default="005C223C" w:rsidP="007928AF">
            <w:pPr>
              <w:widowControl w:val="0"/>
              <w:autoSpaceDE w:val="0"/>
              <w:snapToGrid w:val="0"/>
              <w:spacing w:before="40" w:after="120" w:line="226" w:lineRule="exact"/>
              <w:ind w:left="1324" w:right="1349"/>
              <w:jc w:val="center"/>
              <w:rPr>
                <w:sz w:val="20"/>
              </w:rPr>
            </w:pPr>
            <w:r>
              <w:rPr>
                <w:sz w:val="20"/>
              </w:rPr>
              <w:t>42%</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line="219" w:lineRule="exact"/>
              <w:ind w:left="102"/>
              <w:rPr>
                <w:bCs/>
                <w:sz w:val="20"/>
              </w:rPr>
            </w:pPr>
            <w:r>
              <w:rPr>
                <w:bCs/>
                <w:sz w:val="20"/>
              </w:rPr>
              <w:t>Fondation MAVA</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5C223C" w:rsidP="00307F2E">
            <w:pPr>
              <w:widowControl w:val="0"/>
              <w:autoSpaceDE w:val="0"/>
              <w:snapToGrid w:val="0"/>
              <w:spacing w:before="40" w:after="120" w:line="226" w:lineRule="exact"/>
              <w:ind w:left="1183" w:right="1209"/>
              <w:jc w:val="center"/>
              <w:rPr>
                <w:spacing w:val="1"/>
                <w:sz w:val="20"/>
              </w:rPr>
            </w:pPr>
            <w:r>
              <w:rPr>
                <w:sz w:val="20"/>
              </w:rPr>
              <w:t>1</w:t>
            </w:r>
            <w:r>
              <w:rPr>
                <w:spacing w:val="1"/>
                <w:sz w:val="20"/>
              </w:rPr>
              <w:t>M€</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Default="005C223C" w:rsidP="007928AF">
            <w:pPr>
              <w:widowControl w:val="0"/>
              <w:autoSpaceDE w:val="0"/>
              <w:snapToGrid w:val="0"/>
              <w:spacing w:before="40" w:after="120" w:line="226" w:lineRule="exact"/>
              <w:ind w:left="1324" w:right="1349"/>
              <w:jc w:val="center"/>
              <w:rPr>
                <w:w w:val="99"/>
                <w:sz w:val="20"/>
              </w:rPr>
            </w:pPr>
            <w:r>
              <w:rPr>
                <w:sz w:val="20"/>
              </w:rPr>
              <w:t>42</w:t>
            </w:r>
            <w:r>
              <w:rPr>
                <w:w w:val="99"/>
                <w:sz w:val="20"/>
              </w:rPr>
              <w:t>%</w:t>
            </w:r>
          </w:p>
        </w:tc>
      </w:tr>
      <w:tr w:rsidR="005C223C" w:rsidTr="007928AF">
        <w:tc>
          <w:tcPr>
            <w:tcW w:w="3375" w:type="dxa"/>
            <w:tcBorders>
              <w:top w:val="single" w:sz="4" w:space="0" w:color="000000"/>
              <w:left w:val="single" w:sz="4" w:space="0" w:color="000000"/>
              <w:bottom w:val="single" w:sz="4" w:space="0" w:color="000000"/>
            </w:tcBorders>
            <w:shd w:val="clear" w:color="auto" w:fill="auto"/>
            <w:vAlign w:val="center"/>
          </w:tcPr>
          <w:p w:rsidR="005C223C" w:rsidRDefault="005C223C" w:rsidP="007928AF">
            <w:pPr>
              <w:widowControl w:val="0"/>
              <w:autoSpaceDE w:val="0"/>
              <w:snapToGrid w:val="0"/>
              <w:spacing w:before="40" w:line="219" w:lineRule="exact"/>
              <w:ind w:left="102"/>
              <w:rPr>
                <w:bCs/>
                <w:sz w:val="20"/>
              </w:rPr>
            </w:pPr>
            <w:r>
              <w:rPr>
                <w:bCs/>
                <w:sz w:val="20"/>
              </w:rPr>
              <w:t>Contribution des porteurs de petits projets</w:t>
            </w:r>
          </w:p>
        </w:tc>
        <w:tc>
          <w:tcPr>
            <w:tcW w:w="3112" w:type="dxa"/>
            <w:tcBorders>
              <w:top w:val="single" w:sz="4" w:space="0" w:color="000000"/>
              <w:left w:val="single" w:sz="4" w:space="0" w:color="000000"/>
              <w:bottom w:val="single" w:sz="4" w:space="0" w:color="000000"/>
            </w:tcBorders>
            <w:shd w:val="clear" w:color="auto" w:fill="auto"/>
            <w:vAlign w:val="center"/>
          </w:tcPr>
          <w:p w:rsidR="005C223C" w:rsidRDefault="005C223C" w:rsidP="00307F2E">
            <w:pPr>
              <w:widowControl w:val="0"/>
              <w:autoSpaceDE w:val="0"/>
              <w:snapToGrid w:val="0"/>
              <w:spacing w:before="40" w:after="120" w:line="226" w:lineRule="exact"/>
              <w:ind w:left="1183" w:right="1021"/>
              <w:jc w:val="center"/>
              <w:rPr>
                <w:sz w:val="20"/>
              </w:rPr>
            </w:pPr>
            <w:r>
              <w:rPr>
                <w:sz w:val="20"/>
              </w:rPr>
              <w:t>0,4M</w:t>
            </w:r>
            <w:r w:rsidR="00307F2E">
              <w:rPr>
                <w:sz w:val="20"/>
              </w:rPr>
              <w:t>€</w:t>
            </w:r>
          </w:p>
        </w:tc>
        <w:tc>
          <w:tcPr>
            <w:tcW w:w="3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223C" w:rsidRDefault="005C223C" w:rsidP="00307F2E">
            <w:pPr>
              <w:widowControl w:val="0"/>
              <w:autoSpaceDE w:val="0"/>
              <w:snapToGrid w:val="0"/>
              <w:spacing w:before="40" w:after="120" w:line="226" w:lineRule="exact"/>
              <w:ind w:left="1324" w:right="1349"/>
              <w:jc w:val="center"/>
              <w:rPr>
                <w:sz w:val="20"/>
              </w:rPr>
            </w:pPr>
            <w:r>
              <w:rPr>
                <w:sz w:val="20"/>
              </w:rPr>
              <w:t>1</w:t>
            </w:r>
            <w:r w:rsidR="00307F2E">
              <w:rPr>
                <w:sz w:val="20"/>
              </w:rPr>
              <w:t>6</w:t>
            </w:r>
            <w:r>
              <w:rPr>
                <w:sz w:val="20"/>
              </w:rPr>
              <w:t>%</w:t>
            </w:r>
          </w:p>
        </w:tc>
      </w:tr>
    </w:tbl>
    <w:p w:rsidR="00024568" w:rsidRPr="00024568" w:rsidRDefault="00024568" w:rsidP="00024568">
      <w:pPr>
        <w:pStyle w:val="T6"/>
        <w:rPr>
          <w:b/>
          <w:bCs/>
        </w:rPr>
      </w:pPr>
      <w:bookmarkStart w:id="0" w:name="_Toc372193985"/>
      <w:bookmarkStart w:id="1" w:name="_Toc372204335"/>
      <w:r>
        <w:rPr>
          <w:b/>
          <w:bCs/>
        </w:rPr>
        <w:t>4</w:t>
      </w:r>
      <w:r w:rsidRPr="00024568">
        <w:rPr>
          <w:b/>
          <w:bCs/>
        </w:rPr>
        <w:t xml:space="preserve"> - PORTEURS DE PROJETS ELIGIBLES</w:t>
      </w:r>
      <w:bookmarkEnd w:id="0"/>
      <w:bookmarkEnd w:id="1"/>
    </w:p>
    <w:p w:rsidR="00024568" w:rsidRPr="007928AF" w:rsidRDefault="00024568" w:rsidP="00024568">
      <w:pPr>
        <w:pStyle w:val="ea"/>
        <w:tabs>
          <w:tab w:val="clear" w:pos="340"/>
        </w:tabs>
        <w:ind w:left="0" w:firstLine="0"/>
        <w:rPr>
          <w:lang w:val="fr-LU"/>
        </w:rPr>
      </w:pPr>
      <w:r>
        <w:rPr>
          <w:lang w:val="fr-LU"/>
        </w:rPr>
        <w:t xml:space="preserve">Les bénéficiaires des subventions seront </w:t>
      </w:r>
      <w:r>
        <w:rPr>
          <w:b/>
          <w:lang w:val="fr-LU"/>
        </w:rPr>
        <w:t>les Organisations de la Société Civile (OSC) d'Algérie, de Libye, du Maroc et de Tunisie dans le domaine de l'environnement</w:t>
      </w:r>
      <w:r w:rsidR="00F45AD3" w:rsidRPr="007928AF">
        <w:rPr>
          <w:lang w:val="fr-LU"/>
        </w:rPr>
        <w:t>, y compris, les ONG, les associations professionnelles agricoles, les associations de femmes, de jeunes et leurs fédérations, les organisations locales</w:t>
      </w:r>
      <w:r w:rsidRPr="007928AF">
        <w:rPr>
          <w:lang w:val="fr-LU"/>
        </w:rPr>
        <w:t xml:space="preserve"> mettant en œuvre des activités sur le terrain.</w:t>
      </w:r>
    </w:p>
    <w:p w:rsidR="00024568" w:rsidRDefault="00024568" w:rsidP="00631045">
      <w:pPr>
        <w:pStyle w:val="ea"/>
        <w:pBdr>
          <w:top w:val="single" w:sz="4" w:space="1" w:color="auto"/>
          <w:left w:val="single" w:sz="4" w:space="4" w:color="auto"/>
          <w:bottom w:val="single" w:sz="4" w:space="1" w:color="auto"/>
          <w:right w:val="single" w:sz="4" w:space="4" w:color="auto"/>
        </w:pBdr>
        <w:tabs>
          <w:tab w:val="clear" w:pos="340"/>
        </w:tabs>
        <w:ind w:left="0" w:firstLine="0"/>
        <w:rPr>
          <w:b/>
        </w:rPr>
      </w:pPr>
      <w:r>
        <w:t xml:space="preserve">Afin de favoriser les OSC "émergentes", </w:t>
      </w:r>
      <w:r>
        <w:rPr>
          <w:b/>
        </w:rPr>
        <w:t>les organisations de moins de 5 ans et/ou n'ayant pas bénéficié d’un appui financier de plus de 25 000 euros ces trois dernières années seront favorisées.</w:t>
      </w:r>
    </w:p>
    <w:p w:rsidR="00024568" w:rsidRDefault="00024568" w:rsidP="00024568">
      <w:pPr>
        <w:pStyle w:val="ea"/>
        <w:tabs>
          <w:tab w:val="clear" w:pos="340"/>
        </w:tabs>
        <w:ind w:left="0" w:firstLine="0"/>
        <w:rPr>
          <w:lang w:val="fr-LU"/>
        </w:rPr>
      </w:pPr>
      <w:r>
        <w:rPr>
          <w:lang w:val="fr-LU"/>
        </w:rPr>
        <w:t xml:space="preserve">Les partenariats entre des OSC émergentes, ayant moins de 5 ans d’existence, et des ONG expérimentées avec une expérience avérée en gestion de projets, une connaissance du terrain et des compétences dans le domaine d’intervention choisi sont vivement encouragés. </w:t>
      </w:r>
      <w:r>
        <w:rPr>
          <w:lang w:val="fr-LU"/>
        </w:rPr>
        <w:tab/>
      </w:r>
      <w:r>
        <w:rPr>
          <w:lang w:val="fr-LU"/>
        </w:rPr>
        <w:br/>
        <w:t>La proposition de projet et le projet complet en lui-même devront toutefois être proposés par l’OSC émergente qui bénéficiera seule de la subvention.</w:t>
      </w:r>
    </w:p>
    <w:p w:rsidR="00024568" w:rsidRDefault="00024568" w:rsidP="00024568">
      <w:pPr>
        <w:rPr>
          <w:szCs w:val="22"/>
          <w:lang w:val="fr-LU"/>
        </w:rPr>
      </w:pPr>
    </w:p>
    <w:p w:rsidR="00024568" w:rsidRDefault="00024568" w:rsidP="00024568">
      <w:pPr>
        <w:rPr>
          <w:szCs w:val="22"/>
          <w:lang w:val="fr-LU"/>
        </w:rPr>
      </w:pPr>
      <w:r>
        <w:rPr>
          <w:szCs w:val="22"/>
          <w:lang w:val="fr-LU"/>
        </w:rPr>
        <w:t>Les structures bénéficiaires devront :</w:t>
      </w:r>
    </w:p>
    <w:p w:rsidR="00024568" w:rsidRDefault="00024568" w:rsidP="00024568">
      <w:pPr>
        <w:rPr>
          <w:szCs w:val="22"/>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avoir un statut juridique reconnu par l’administration qui leur permette de recevoir des subventions ;</w:t>
      </w:r>
    </w:p>
    <w:p w:rsidR="00024568" w:rsidRPr="00024568" w:rsidRDefault="00024568" w:rsidP="00024568">
      <w:pPr>
        <w:pStyle w:val="ListParagraph"/>
        <w:ind w:left="0"/>
        <w:jc w:val="both"/>
        <w:rPr>
          <w:rFonts w:ascii="Arial" w:hAnsi="Arial" w:cs="Arial"/>
          <w:sz w:val="6"/>
          <w:szCs w:val="6"/>
          <w:lang w:val="fr-LU"/>
        </w:rPr>
      </w:pPr>
    </w:p>
    <w:p w:rsidR="00024568" w:rsidRPr="00FB7043" w:rsidRDefault="00024568" w:rsidP="00024568">
      <w:pPr>
        <w:pStyle w:val="ListParagraph"/>
        <w:numPr>
          <w:ilvl w:val="0"/>
          <w:numId w:val="4"/>
        </w:numPr>
        <w:suppressAutoHyphens w:val="0"/>
        <w:contextualSpacing/>
        <w:jc w:val="both"/>
        <w:rPr>
          <w:rFonts w:ascii="Arial" w:hAnsi="Arial" w:cs="Arial"/>
          <w:lang w:val="fr-LU" w:eastAsia="fr-FR"/>
        </w:rPr>
      </w:pPr>
      <w:r>
        <w:rPr>
          <w:rFonts w:ascii="Arial" w:hAnsi="Arial" w:cs="Arial"/>
          <w:lang w:val="fr-LU" w:eastAsia="fr-FR"/>
        </w:rPr>
        <w:t xml:space="preserve">être en mesure de fournir une comptabilité et une identification précise de l’identité de ses principaux bailleurs de fonds passés ; </w:t>
      </w:r>
    </w:p>
    <w:p w:rsidR="00024568" w:rsidRPr="00024568" w:rsidRDefault="00024568" w:rsidP="00024568">
      <w:pPr>
        <w:pStyle w:val="ListParagraph"/>
        <w:ind w:left="0"/>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être en mesure de prouver la réalisation d'activités effectives depuis leur création et/ou de présenter des procès verbaux d'assemblés générales ;</w:t>
      </w:r>
    </w:p>
    <w:p w:rsidR="00024568" w:rsidRPr="00024568" w:rsidRDefault="00024568" w:rsidP="00024568">
      <w:pPr>
        <w:jc w:val="both"/>
        <w:rPr>
          <w:sz w:val="6"/>
          <w:szCs w:val="6"/>
          <w:lang w:val="fr-LU"/>
        </w:rPr>
      </w:pPr>
    </w:p>
    <w:p w:rsidR="00024568" w:rsidRDefault="00024568" w:rsidP="007928AF">
      <w:pPr>
        <w:pStyle w:val="ListParagraph"/>
        <w:numPr>
          <w:ilvl w:val="0"/>
          <w:numId w:val="4"/>
        </w:numPr>
        <w:jc w:val="both"/>
        <w:rPr>
          <w:rFonts w:ascii="Arial" w:hAnsi="Arial" w:cs="Arial"/>
          <w:lang w:val="fr-LU"/>
        </w:rPr>
      </w:pPr>
      <w:r>
        <w:rPr>
          <w:rFonts w:ascii="Arial" w:hAnsi="Arial" w:cs="Arial"/>
          <w:lang w:val="fr-LU"/>
        </w:rPr>
        <w:t>avoir des compétences avérées dans le domaine d’intervention choisi : conservation de la biodiversité ou lutte contre le changement climatique.</w:t>
      </w:r>
    </w:p>
    <w:p w:rsidR="00024568" w:rsidRDefault="00024568" w:rsidP="00024568">
      <w:pPr>
        <w:pStyle w:val="T6"/>
        <w:rPr>
          <w:b/>
          <w:bCs/>
        </w:rPr>
      </w:pPr>
      <w:bookmarkStart w:id="2" w:name="_Toc372193986"/>
      <w:bookmarkStart w:id="3" w:name="_Toc372204336"/>
      <w:r>
        <w:rPr>
          <w:b/>
          <w:bCs/>
        </w:rPr>
        <w:t>5</w:t>
      </w:r>
      <w:r w:rsidRPr="00024568">
        <w:rPr>
          <w:b/>
          <w:bCs/>
        </w:rPr>
        <w:t xml:space="preserve"> - THEMATIQUES DES PROJETS ELIGIBLES</w:t>
      </w:r>
      <w:bookmarkEnd w:id="2"/>
      <w:bookmarkEnd w:id="3"/>
    </w:p>
    <w:p w:rsidR="00024568" w:rsidRPr="00024568" w:rsidRDefault="00024568" w:rsidP="00024568">
      <w:pPr>
        <w:pStyle w:val="T6"/>
        <w:rPr>
          <w:b/>
          <w:bCs/>
          <w:sz w:val="2"/>
          <w:szCs w:val="2"/>
        </w:rPr>
      </w:pPr>
    </w:p>
    <w:p w:rsidR="00024568" w:rsidRDefault="00024568" w:rsidP="00024568">
      <w:pPr>
        <w:jc w:val="both"/>
        <w:rPr>
          <w:szCs w:val="22"/>
          <w:lang w:val="fr-LU"/>
        </w:rPr>
      </w:pPr>
      <w:r>
        <w:rPr>
          <w:szCs w:val="22"/>
          <w:lang w:val="fr-LU"/>
        </w:rPr>
        <w:t xml:space="preserve">Les projets éligibles concerneront la </w:t>
      </w:r>
      <w:r>
        <w:rPr>
          <w:b/>
          <w:szCs w:val="22"/>
          <w:lang w:val="fr-LU"/>
        </w:rPr>
        <w:t>conservation de la biodiversité</w:t>
      </w:r>
      <w:r>
        <w:rPr>
          <w:szCs w:val="22"/>
          <w:lang w:val="fr-LU"/>
        </w:rPr>
        <w:t xml:space="preserve">, la </w:t>
      </w:r>
      <w:r>
        <w:rPr>
          <w:b/>
          <w:szCs w:val="22"/>
          <w:lang w:val="fr-LU"/>
        </w:rPr>
        <w:t>gestion durable des ressources naturelles</w:t>
      </w:r>
      <w:r>
        <w:rPr>
          <w:szCs w:val="22"/>
          <w:lang w:val="fr-LU"/>
        </w:rPr>
        <w:t xml:space="preserve"> et de lutte contre le</w:t>
      </w:r>
      <w:r>
        <w:rPr>
          <w:b/>
          <w:szCs w:val="22"/>
          <w:lang w:val="fr-LU"/>
        </w:rPr>
        <w:t xml:space="preserve"> changement climatique</w:t>
      </w:r>
      <w:r>
        <w:rPr>
          <w:szCs w:val="22"/>
          <w:lang w:val="fr-LU"/>
        </w:rPr>
        <w:t xml:space="preserve"> en synergie avec l’amélioration des conditions de vie des populations locales.</w:t>
      </w:r>
    </w:p>
    <w:p w:rsidR="00024568" w:rsidRPr="004A3BC8" w:rsidRDefault="00024568" w:rsidP="00024568">
      <w:pPr>
        <w:jc w:val="both"/>
        <w:rPr>
          <w:sz w:val="14"/>
          <w:szCs w:val="14"/>
          <w:lang w:val="fr-LU"/>
        </w:rPr>
      </w:pPr>
    </w:p>
    <w:p w:rsidR="00024568" w:rsidRDefault="00024568" w:rsidP="00024568">
      <w:pPr>
        <w:jc w:val="both"/>
        <w:rPr>
          <w:szCs w:val="22"/>
          <w:lang w:val="fr-LU"/>
        </w:rPr>
      </w:pPr>
      <w:r>
        <w:rPr>
          <w:szCs w:val="22"/>
          <w:lang w:val="fr-LU"/>
        </w:rPr>
        <w:t xml:space="preserve">Les projets financés seront réalisés sur </w:t>
      </w:r>
      <w:r>
        <w:rPr>
          <w:b/>
          <w:szCs w:val="22"/>
          <w:lang w:val="fr-LU"/>
        </w:rPr>
        <w:t>2 ans maximum</w:t>
      </w:r>
      <w:r>
        <w:rPr>
          <w:szCs w:val="22"/>
          <w:lang w:val="fr-LU"/>
        </w:rPr>
        <w:t xml:space="preserve"> et concerneront les thèmes suivants:</w:t>
      </w:r>
    </w:p>
    <w:tbl>
      <w:tblPr>
        <w:tblW w:w="0" w:type="auto"/>
        <w:tblInd w:w="-5" w:type="dxa"/>
        <w:tblLayout w:type="fixed"/>
        <w:tblLook w:val="0000"/>
      </w:tblPr>
      <w:tblGrid>
        <w:gridCol w:w="2802"/>
        <w:gridCol w:w="6985"/>
      </w:tblGrid>
      <w:tr w:rsidR="00024568" w:rsidTr="007928AF">
        <w:trPr>
          <w:trHeight w:val="523"/>
        </w:trPr>
        <w:tc>
          <w:tcPr>
            <w:tcW w:w="2802" w:type="dxa"/>
            <w:tcBorders>
              <w:top w:val="single" w:sz="4" w:space="0" w:color="000000"/>
              <w:left w:val="single" w:sz="4" w:space="0" w:color="000000"/>
              <w:bottom w:val="single" w:sz="4" w:space="0" w:color="000000"/>
            </w:tcBorders>
            <w:shd w:val="clear" w:color="auto" w:fill="BFBFBF"/>
            <w:vAlign w:val="center"/>
          </w:tcPr>
          <w:p w:rsidR="00024568" w:rsidRDefault="00024568" w:rsidP="007928AF">
            <w:pPr>
              <w:snapToGrid w:val="0"/>
              <w:jc w:val="center"/>
              <w:rPr>
                <w:b/>
                <w:bCs/>
                <w:sz w:val="24"/>
                <w:szCs w:val="24"/>
              </w:rPr>
            </w:pPr>
            <w:r>
              <w:rPr>
                <w:b/>
                <w:bCs/>
                <w:sz w:val="24"/>
                <w:szCs w:val="24"/>
              </w:rPr>
              <w:t>Thématiques éligibles</w:t>
            </w:r>
          </w:p>
        </w:tc>
        <w:tc>
          <w:tcPr>
            <w:tcW w:w="6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24568" w:rsidRDefault="00024568" w:rsidP="007928AF">
            <w:pPr>
              <w:pStyle w:val="ListParagraph1"/>
              <w:snapToGrid w:val="0"/>
              <w:spacing w:after="0"/>
              <w:ind w:left="31"/>
              <w:jc w:val="center"/>
              <w:rPr>
                <w:b/>
                <w:bCs/>
                <w:sz w:val="24"/>
                <w:szCs w:val="24"/>
              </w:rPr>
            </w:pPr>
            <w:r>
              <w:rPr>
                <w:b/>
                <w:bCs/>
                <w:sz w:val="24"/>
                <w:szCs w:val="24"/>
              </w:rPr>
              <w:t>Exemples d’activités éligibles</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Pr="00414EB6" w:rsidRDefault="00024568" w:rsidP="007928AF">
            <w:pPr>
              <w:snapToGrid w:val="0"/>
            </w:pPr>
            <w:r w:rsidRPr="00414EB6">
              <w:t xml:space="preserve">Conservation et valorisation de la biodiversité </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valorisation et restauration des écosystèmes typiques (forestiers, côtiers, oasiens, etc.).</w:t>
            </w:r>
          </w:p>
          <w:p w:rsidR="00024568" w:rsidRDefault="00024568" w:rsidP="00024568">
            <w:pPr>
              <w:numPr>
                <w:ilvl w:val="0"/>
                <w:numId w:val="5"/>
              </w:numPr>
              <w:ind w:left="306" w:hanging="266"/>
              <w:jc w:val="both"/>
            </w:pPr>
            <w:r>
              <w:t>implication des populations locales dans la gestion de zones d’intérêt environnemental avéré.</w:t>
            </w:r>
          </w:p>
          <w:p w:rsidR="00024568" w:rsidRDefault="00024568" w:rsidP="00024568">
            <w:pPr>
              <w:numPr>
                <w:ilvl w:val="0"/>
                <w:numId w:val="5"/>
              </w:numPr>
              <w:ind w:left="306" w:hanging="266"/>
              <w:jc w:val="both"/>
            </w:pPr>
            <w:r>
              <w:t>compilation et mise en forme pratique d’informations sur la biodiversité (Site Web, CD, etc.).</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Pr="00414EB6" w:rsidRDefault="00024568" w:rsidP="007928AF">
            <w:pPr>
              <w:autoSpaceDE w:val="0"/>
              <w:snapToGrid w:val="0"/>
            </w:pPr>
            <w:r w:rsidRPr="00414EB6">
              <w:lastRenderedPageBreak/>
              <w:t>Aires protégées marines et terrestres</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participation à la mise en œuvre de composantes du plan de gestion et d’aménagement d’une aire protégée.</w:t>
            </w:r>
          </w:p>
          <w:p w:rsidR="00024568" w:rsidRDefault="00024568" w:rsidP="00024568">
            <w:pPr>
              <w:numPr>
                <w:ilvl w:val="0"/>
                <w:numId w:val="5"/>
              </w:numPr>
              <w:ind w:left="306" w:hanging="266"/>
              <w:jc w:val="both"/>
            </w:pPr>
            <w:r>
              <w:t xml:space="preserve"> valorisation et animation des structures d’accueil au niveau des aires protégées (accueil, encadrement, sensibilisation et éducation environnementale).</w:t>
            </w:r>
          </w:p>
          <w:p w:rsidR="00024568" w:rsidRDefault="00024568" w:rsidP="00024568">
            <w:pPr>
              <w:numPr>
                <w:ilvl w:val="0"/>
                <w:numId w:val="5"/>
              </w:numPr>
              <w:ind w:left="306" w:hanging="266"/>
              <w:jc w:val="both"/>
            </w:pPr>
            <w:r>
              <w:t>développement d’activités génératrices de revenus avec la population locale comme alternative aux pressions qu’elle-même exerce sur le milieu naturel.</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Default="00024568" w:rsidP="007928AF">
            <w:pPr>
              <w:autoSpaceDE w:val="0"/>
              <w:snapToGrid w:val="0"/>
              <w:rPr>
                <w:lang w:val="es-ES"/>
              </w:rPr>
            </w:pPr>
            <w:proofErr w:type="spellStart"/>
            <w:r>
              <w:rPr>
                <w:lang w:val="es-ES"/>
              </w:rPr>
              <w:t>Espèces</w:t>
            </w:r>
            <w:proofErr w:type="spellEnd"/>
            <w:r>
              <w:rPr>
                <w:lang w:val="es-ES"/>
              </w:rPr>
              <w:t xml:space="preserve"> </w:t>
            </w:r>
            <w:proofErr w:type="spellStart"/>
            <w:r>
              <w:rPr>
                <w:lang w:val="es-ES"/>
              </w:rPr>
              <w:t>endémiques</w:t>
            </w:r>
            <w:proofErr w:type="spellEnd"/>
            <w:r>
              <w:rPr>
                <w:lang w:val="es-ES"/>
              </w:rPr>
              <w:t xml:space="preserve"> et </w:t>
            </w:r>
            <w:proofErr w:type="spellStart"/>
            <w:r>
              <w:rPr>
                <w:lang w:val="es-ES"/>
              </w:rPr>
              <w:t>menacées</w:t>
            </w:r>
            <w:proofErr w:type="spellEnd"/>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accompagnement à la mise en œuvre de la stratégie nationale de préservation des espèces menacées.</w:t>
            </w:r>
          </w:p>
          <w:p w:rsidR="00024568" w:rsidRDefault="00024568" w:rsidP="00024568">
            <w:pPr>
              <w:numPr>
                <w:ilvl w:val="0"/>
                <w:numId w:val="5"/>
              </w:numPr>
              <w:ind w:left="306" w:hanging="266"/>
              <w:jc w:val="both"/>
            </w:pPr>
            <w:r>
              <w:t>accompagnement de la population locale pour une utilisation rationnelle des espèces.</w:t>
            </w:r>
          </w:p>
          <w:p w:rsidR="00024568" w:rsidRDefault="00024568" w:rsidP="00024568">
            <w:pPr>
              <w:numPr>
                <w:ilvl w:val="0"/>
                <w:numId w:val="5"/>
              </w:numPr>
              <w:ind w:left="306" w:hanging="266"/>
              <w:jc w:val="both"/>
            </w:pPr>
            <w:r>
              <w:t>valorisation des espèces médicinales.</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Default="00024568" w:rsidP="007928AF">
            <w:pPr>
              <w:autoSpaceDE w:val="0"/>
              <w:snapToGrid w:val="0"/>
              <w:rPr>
                <w:lang w:val="es-ES"/>
              </w:rPr>
            </w:pPr>
            <w:proofErr w:type="spellStart"/>
            <w:r>
              <w:rPr>
                <w:lang w:val="es-ES"/>
              </w:rPr>
              <w:t>Veille</w:t>
            </w:r>
            <w:proofErr w:type="spellEnd"/>
            <w:r>
              <w:rPr>
                <w:lang w:val="es-ES"/>
              </w:rPr>
              <w:t xml:space="preserve"> </w:t>
            </w:r>
            <w:proofErr w:type="spellStart"/>
            <w:r>
              <w:rPr>
                <w:lang w:val="es-ES"/>
              </w:rPr>
              <w:t>écologique</w:t>
            </w:r>
            <w:proofErr w:type="spellEnd"/>
            <w:r>
              <w:rPr>
                <w:lang w:val="es-ES"/>
              </w:rPr>
              <w:t xml:space="preserve"> (</w:t>
            </w:r>
            <w:proofErr w:type="spellStart"/>
            <w:r>
              <w:rPr>
                <w:lang w:val="es-ES"/>
              </w:rPr>
              <w:t>monitoring</w:t>
            </w:r>
            <w:proofErr w:type="spellEnd"/>
            <w:r>
              <w:rPr>
                <w:lang w:val="es-ES"/>
              </w:rPr>
              <w:t xml:space="preserve">, </w:t>
            </w:r>
            <w:proofErr w:type="spellStart"/>
            <w:r>
              <w:rPr>
                <w:lang w:val="es-ES"/>
              </w:rPr>
              <w:t>suivi</w:t>
            </w:r>
            <w:proofErr w:type="spellEnd"/>
            <w:r>
              <w:rPr>
                <w:lang w:val="es-ES"/>
              </w:rPr>
              <w:t>,….)</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surveillance du statut de conservation des écosystèmes et des espèces.</w:t>
            </w:r>
          </w:p>
          <w:p w:rsidR="00024568" w:rsidRDefault="00024568" w:rsidP="00024568">
            <w:pPr>
              <w:numPr>
                <w:ilvl w:val="0"/>
                <w:numId w:val="5"/>
              </w:numPr>
              <w:ind w:left="306" w:hanging="266"/>
              <w:jc w:val="both"/>
            </w:pPr>
            <w:r>
              <w:t xml:space="preserve">recensement et suivi des espèces au profit des organisations gouvernementales. </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Default="00024568" w:rsidP="007928AF">
            <w:pPr>
              <w:autoSpaceDE w:val="0"/>
              <w:snapToGrid w:val="0"/>
              <w:rPr>
                <w:lang w:val="es-ES"/>
              </w:rPr>
            </w:pPr>
            <w:proofErr w:type="spellStart"/>
            <w:r>
              <w:rPr>
                <w:lang w:val="es-ES"/>
              </w:rPr>
              <w:t>Écotourisme</w:t>
            </w:r>
            <w:proofErr w:type="spellEnd"/>
            <w:r>
              <w:rPr>
                <w:lang w:val="es-ES"/>
              </w:rPr>
              <w:t xml:space="preserve"> </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valorisation du savoir-faire traditionnel rural (artisanat, gastronomie, etc.).</w:t>
            </w:r>
          </w:p>
          <w:p w:rsidR="00024568" w:rsidRDefault="00024568" w:rsidP="00024568">
            <w:pPr>
              <w:numPr>
                <w:ilvl w:val="0"/>
                <w:numId w:val="5"/>
              </w:numPr>
              <w:ind w:left="306" w:hanging="266"/>
              <w:jc w:val="both"/>
            </w:pPr>
            <w:r>
              <w:t>exploitation et valorisation des structures d’accueil et des circuits d’écotourisme.</w:t>
            </w:r>
          </w:p>
          <w:p w:rsidR="00024568" w:rsidRDefault="00024568" w:rsidP="00024568">
            <w:pPr>
              <w:numPr>
                <w:ilvl w:val="0"/>
                <w:numId w:val="5"/>
              </w:numPr>
              <w:ind w:left="306" w:hanging="266"/>
              <w:jc w:val="both"/>
            </w:pPr>
            <w:r>
              <w:t>développement d’outils et de supports d’orientation et d’éducation dans les aires protégées et les espaces naturels.</w:t>
            </w:r>
          </w:p>
          <w:p w:rsidR="00024568" w:rsidRDefault="00024568" w:rsidP="00024568">
            <w:pPr>
              <w:numPr>
                <w:ilvl w:val="0"/>
                <w:numId w:val="5"/>
              </w:numPr>
              <w:ind w:left="306" w:hanging="266"/>
              <w:jc w:val="both"/>
            </w:pPr>
            <w:r>
              <w:t>fourniture de service d’éco-guide.</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Pr="00414EB6" w:rsidRDefault="00024568" w:rsidP="007928AF">
            <w:pPr>
              <w:autoSpaceDE w:val="0"/>
              <w:snapToGrid w:val="0"/>
            </w:pPr>
            <w:r w:rsidRPr="00414EB6">
              <w:t>Économie d'énergie et énergies renouvelables</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campagnes de sensibilisation sur les économies d’énergie et les énergies renouvelables dans le milieu rural et scolaire.</w:t>
            </w:r>
          </w:p>
          <w:p w:rsidR="00024568" w:rsidRDefault="00024568" w:rsidP="00024568">
            <w:pPr>
              <w:numPr>
                <w:ilvl w:val="0"/>
                <w:numId w:val="5"/>
              </w:numPr>
              <w:ind w:left="306" w:hanging="266"/>
              <w:jc w:val="both"/>
            </w:pPr>
            <w:r>
              <w:t>vulgarisation et actions pilotes de l’utilisation de l’énergie solaire et de l’économie d’énergie avec atténuation mesurée des émissions de gaz à effet de serre</w:t>
            </w:r>
            <w:proofErr w:type="gramStart"/>
            <w:r w:rsidRPr="001D63A1">
              <w:t>.</w:t>
            </w:r>
            <w:r>
              <w:t>.</w:t>
            </w:r>
            <w:proofErr w:type="gramEnd"/>
          </w:p>
          <w:p w:rsidR="00024568" w:rsidRDefault="00024568" w:rsidP="00024568">
            <w:pPr>
              <w:numPr>
                <w:ilvl w:val="0"/>
                <w:numId w:val="5"/>
              </w:numPr>
              <w:ind w:left="306" w:hanging="266"/>
              <w:jc w:val="both"/>
            </w:pPr>
            <w:r>
              <w:t>initiation à la fabrication de biogaz avec atténuation mesurée des émissions de gaz à effet de serres</w:t>
            </w:r>
            <w:proofErr w:type="gramStart"/>
            <w:r w:rsidRPr="001D63A1">
              <w:t>.</w:t>
            </w:r>
            <w:r>
              <w:t>.</w:t>
            </w:r>
            <w:proofErr w:type="gramEnd"/>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Pr="00414EB6" w:rsidRDefault="00024568" w:rsidP="007928AF">
            <w:pPr>
              <w:snapToGrid w:val="0"/>
            </w:pPr>
            <w:r w:rsidRPr="00414EB6">
              <w:t>Eau et les écosystèmes d’eau douce</w:t>
            </w:r>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préservation et aménagement des points d’eau et des sources, projets sur l’économie d’eau, campagnes de sensibilisation sur l’utilisation rationnelle de l’eau (dans tous les cas, en lien avec des pressions sur la biodiversité).</w:t>
            </w:r>
          </w:p>
          <w:p w:rsidR="00024568" w:rsidRDefault="00024568" w:rsidP="00024568">
            <w:pPr>
              <w:numPr>
                <w:ilvl w:val="0"/>
                <w:numId w:val="5"/>
              </w:numPr>
              <w:ind w:left="306" w:hanging="266"/>
              <w:jc w:val="both"/>
            </w:pPr>
            <w:r>
              <w:t>préservation des zones humides et des bassins versants (en lien avec des espaces protégés).</w:t>
            </w:r>
          </w:p>
        </w:tc>
      </w:tr>
      <w:tr w:rsidR="00024568" w:rsidTr="007928AF">
        <w:tc>
          <w:tcPr>
            <w:tcW w:w="2802" w:type="dxa"/>
            <w:tcBorders>
              <w:top w:val="single" w:sz="4" w:space="0" w:color="000000"/>
              <w:left w:val="single" w:sz="4" w:space="0" w:color="000000"/>
              <w:bottom w:val="single" w:sz="4" w:space="0" w:color="000000"/>
            </w:tcBorders>
            <w:shd w:val="clear" w:color="auto" w:fill="auto"/>
          </w:tcPr>
          <w:p w:rsidR="00024568" w:rsidRDefault="00024568" w:rsidP="007928AF">
            <w:pPr>
              <w:snapToGrid w:val="0"/>
              <w:rPr>
                <w:lang w:val="es-ES"/>
              </w:rPr>
            </w:pPr>
            <w:proofErr w:type="spellStart"/>
            <w:r>
              <w:rPr>
                <w:lang w:val="es-ES"/>
              </w:rPr>
              <w:t>Développement</w:t>
            </w:r>
            <w:proofErr w:type="spellEnd"/>
            <w:r>
              <w:rPr>
                <w:lang w:val="es-ES"/>
              </w:rPr>
              <w:t xml:space="preserve"> </w:t>
            </w:r>
            <w:proofErr w:type="spellStart"/>
            <w:r>
              <w:rPr>
                <w:lang w:val="es-ES"/>
              </w:rPr>
              <w:t>communautaire</w:t>
            </w:r>
            <w:proofErr w:type="spellEnd"/>
          </w:p>
        </w:tc>
        <w:tc>
          <w:tcPr>
            <w:tcW w:w="6985" w:type="dxa"/>
            <w:tcBorders>
              <w:top w:val="single" w:sz="4" w:space="0" w:color="000000"/>
              <w:left w:val="single" w:sz="4" w:space="0" w:color="000000"/>
              <w:bottom w:val="single" w:sz="4" w:space="0" w:color="000000"/>
              <w:right w:val="single" w:sz="4" w:space="0" w:color="000000"/>
            </w:tcBorders>
            <w:shd w:val="clear" w:color="auto" w:fill="auto"/>
          </w:tcPr>
          <w:p w:rsidR="00024568" w:rsidRDefault="00024568" w:rsidP="00024568">
            <w:pPr>
              <w:numPr>
                <w:ilvl w:val="0"/>
                <w:numId w:val="5"/>
              </w:numPr>
              <w:snapToGrid w:val="0"/>
              <w:ind w:left="306" w:hanging="266"/>
              <w:jc w:val="both"/>
            </w:pPr>
            <w:r>
              <w:t>valorisation des pratiques traditionnelles en relation avec la protection de la biodiversité.</w:t>
            </w:r>
          </w:p>
          <w:p w:rsidR="00024568" w:rsidRDefault="00024568" w:rsidP="00024568">
            <w:pPr>
              <w:numPr>
                <w:ilvl w:val="0"/>
                <w:numId w:val="5"/>
              </w:numPr>
              <w:ind w:left="306" w:hanging="266"/>
              <w:jc w:val="both"/>
            </w:pPr>
            <w:r>
              <w:t>génération de bénéfices pour la population à travers des actions de conservation.</w:t>
            </w:r>
          </w:p>
        </w:tc>
      </w:tr>
    </w:tbl>
    <w:p w:rsidR="00024568" w:rsidRDefault="00024568" w:rsidP="00024568">
      <w:pPr>
        <w:pStyle w:val="Header"/>
        <w:pBdr>
          <w:bottom w:val="none" w:sz="0" w:space="0" w:color="auto"/>
        </w:pBdr>
        <w:spacing w:after="0"/>
        <w:jc w:val="both"/>
        <w:rPr>
          <w:rFonts w:ascii="Times New Roman" w:hAnsi="Times New Roman" w:cs="Times New Roman"/>
        </w:rPr>
      </w:pPr>
    </w:p>
    <w:p w:rsidR="00024568" w:rsidRPr="00307F2E" w:rsidRDefault="00024568" w:rsidP="00024568">
      <w:pPr>
        <w:jc w:val="both"/>
        <w:rPr>
          <w:b/>
          <w:bCs/>
          <w:szCs w:val="22"/>
          <w:lang w:val="fr-LU"/>
        </w:rPr>
      </w:pPr>
      <w:r w:rsidRPr="00307F2E">
        <w:rPr>
          <w:b/>
          <w:bCs/>
          <w:szCs w:val="22"/>
          <w:lang w:val="fr-LU"/>
        </w:rPr>
        <w:t>Les projets mettant en œuvre les activités suivantes seront privilégiés:</w:t>
      </w:r>
    </w:p>
    <w:p w:rsidR="00024568" w:rsidRPr="00165C7F" w:rsidRDefault="00024568" w:rsidP="00024568">
      <w:pPr>
        <w:pStyle w:val="Header"/>
        <w:pBdr>
          <w:bottom w:val="none" w:sz="0" w:space="0" w:color="auto"/>
        </w:pBdr>
        <w:spacing w:after="0"/>
        <w:jc w:val="both"/>
        <w:rPr>
          <w:rFonts w:ascii="Times New Roman" w:hAnsi="Times New Roman" w:cs="Times New Roman"/>
          <w:sz w:val="8"/>
          <w:szCs w:val="8"/>
        </w:rPr>
      </w:pPr>
    </w:p>
    <w:p w:rsidR="00024568" w:rsidRPr="00E248AF" w:rsidRDefault="00F45AD3" w:rsidP="007928AF">
      <w:pPr>
        <w:pStyle w:val="ListParagraph"/>
        <w:numPr>
          <w:ilvl w:val="0"/>
          <w:numId w:val="6"/>
        </w:numPr>
        <w:suppressAutoHyphens w:val="0"/>
        <w:contextualSpacing/>
        <w:jc w:val="both"/>
        <w:rPr>
          <w:rFonts w:ascii="Arial" w:hAnsi="Arial" w:cs="Arial"/>
          <w:lang w:val="fr-LU" w:eastAsia="fr-FR"/>
        </w:rPr>
      </w:pPr>
      <w:r w:rsidRPr="00F45AD3">
        <w:rPr>
          <w:rFonts w:ascii="Arial" w:hAnsi="Arial" w:cs="Arial"/>
          <w:u w:val="single"/>
        </w:rPr>
        <w:t>A</w:t>
      </w:r>
      <w:proofErr w:type="spellStart"/>
      <w:r w:rsidRPr="00F45AD3">
        <w:rPr>
          <w:rFonts w:ascii="Arial" w:hAnsi="Arial" w:cs="Arial"/>
          <w:u w:val="single"/>
          <w:lang w:val="fr-LU"/>
        </w:rPr>
        <w:t>ctions</w:t>
      </w:r>
      <w:proofErr w:type="spellEnd"/>
      <w:r w:rsidRPr="00F45AD3">
        <w:rPr>
          <w:rFonts w:ascii="Arial" w:hAnsi="Arial" w:cs="Arial"/>
          <w:u w:val="single"/>
          <w:lang w:val="fr-LU"/>
        </w:rPr>
        <w:t xml:space="preserve"> sur le terrain</w:t>
      </w:r>
      <w:r w:rsidR="00024568">
        <w:rPr>
          <w:rFonts w:ascii="Arial" w:hAnsi="Arial" w:cs="Arial"/>
          <w:lang w:val="fr-LU"/>
        </w:rPr>
        <w:t xml:space="preserve"> </w:t>
      </w:r>
      <w:proofErr w:type="gramStart"/>
      <w:r w:rsidR="00024568">
        <w:rPr>
          <w:rFonts w:ascii="Arial" w:hAnsi="Arial" w:cs="Arial"/>
          <w:lang w:val="fr-LU"/>
        </w:rPr>
        <w:t>mises</w:t>
      </w:r>
      <w:proofErr w:type="gramEnd"/>
      <w:r w:rsidR="00024568">
        <w:rPr>
          <w:rFonts w:ascii="Arial" w:hAnsi="Arial" w:cs="Arial"/>
          <w:lang w:val="fr-LU"/>
        </w:rPr>
        <w:t xml:space="preserve"> en œuvre </w:t>
      </w:r>
      <w:r w:rsidR="007928AF">
        <w:rPr>
          <w:rFonts w:ascii="Arial" w:hAnsi="Arial" w:cs="Arial"/>
          <w:lang w:val="fr-LU"/>
        </w:rPr>
        <w:t xml:space="preserve">à travers </w:t>
      </w:r>
      <w:r w:rsidR="00024568">
        <w:rPr>
          <w:rFonts w:ascii="Arial" w:hAnsi="Arial" w:cs="Arial"/>
          <w:lang w:val="fr-LU"/>
        </w:rPr>
        <w:t xml:space="preserve">un processus réellement participatif garantissant une forte implication des populations concernées </w:t>
      </w:r>
      <w:r w:rsidR="00024568">
        <w:rPr>
          <w:rFonts w:ascii="Arial" w:hAnsi="Arial" w:cs="Arial"/>
          <w:lang w:val="fr-LU" w:eastAsia="fr-FR"/>
        </w:rPr>
        <w:t xml:space="preserve">en particulier les femmes et les jeunes. </w:t>
      </w:r>
      <w:r w:rsidR="00024568" w:rsidRPr="003F2C4B">
        <w:rPr>
          <w:rFonts w:ascii="Arial" w:hAnsi="Arial" w:cs="Arial"/>
          <w:lang w:val="fr-LU" w:eastAsia="fr-FR"/>
        </w:rPr>
        <w:t>Les ONG basées sur le terrain sont privilégiées et celles</w:t>
      </w:r>
      <w:r w:rsidR="00024568" w:rsidRPr="00B35792">
        <w:rPr>
          <w:rFonts w:ascii="Arial" w:hAnsi="Arial" w:cs="Arial"/>
          <w:lang w:val="fr-LU" w:eastAsia="fr-FR"/>
        </w:rPr>
        <w:t xml:space="preserve"> </w:t>
      </w:r>
      <w:r w:rsidR="00024568" w:rsidRPr="00F21DBC">
        <w:rPr>
          <w:rFonts w:ascii="Arial" w:hAnsi="Arial" w:cs="Arial"/>
          <w:lang w:val="fr-LU" w:eastAsia="fr-FR"/>
        </w:rPr>
        <w:t>basées à l’extérieur de la zone d’intervention devront préciser leur expérience de la zone et le rôle</w:t>
      </w:r>
      <w:r w:rsidR="00024568" w:rsidRPr="00E248AF">
        <w:rPr>
          <w:rFonts w:ascii="Arial" w:hAnsi="Arial" w:cs="Arial"/>
          <w:lang w:val="fr-LU" w:eastAsia="fr-FR"/>
        </w:rPr>
        <w:t xml:space="preserve"> de leur personnel sur le terrain.</w:t>
      </w:r>
    </w:p>
    <w:p w:rsidR="00024568" w:rsidRPr="00307F2E" w:rsidRDefault="00024568" w:rsidP="00024568">
      <w:pPr>
        <w:pStyle w:val="ListParagraph"/>
        <w:ind w:left="432"/>
        <w:jc w:val="both"/>
        <w:rPr>
          <w:rFonts w:ascii="Arial" w:hAnsi="Arial" w:cs="Arial"/>
          <w:sz w:val="6"/>
          <w:szCs w:val="6"/>
          <w:lang w:val="fr-LU"/>
        </w:rPr>
      </w:pPr>
    </w:p>
    <w:p w:rsidR="00024568" w:rsidRDefault="00F45AD3" w:rsidP="00024568">
      <w:pPr>
        <w:pStyle w:val="ListParagraph"/>
        <w:numPr>
          <w:ilvl w:val="0"/>
          <w:numId w:val="4"/>
        </w:numPr>
        <w:jc w:val="both"/>
        <w:rPr>
          <w:rFonts w:ascii="Arial" w:hAnsi="Arial" w:cs="Arial"/>
          <w:lang w:val="fr-LU"/>
        </w:rPr>
      </w:pPr>
      <w:r w:rsidRPr="00F45AD3">
        <w:rPr>
          <w:rFonts w:ascii="Arial" w:hAnsi="Arial" w:cs="Arial"/>
          <w:u w:val="single"/>
          <w:lang w:val="fr-LU"/>
        </w:rPr>
        <w:lastRenderedPageBreak/>
        <w:t>Activités génératrices de revenus</w:t>
      </w:r>
      <w:r w:rsidR="00024568">
        <w:rPr>
          <w:rFonts w:ascii="Arial" w:hAnsi="Arial" w:cs="Arial"/>
          <w:lang w:val="fr-LU"/>
        </w:rPr>
        <w:t xml:space="preserve"> reliées à la gestion durable des ressources naturelles, à la biodiversité ou au changement climatique, éventuellement en lien avec le secteur privé.</w:t>
      </w:r>
    </w:p>
    <w:p w:rsidR="00024568" w:rsidRPr="00307F2E" w:rsidRDefault="00024568" w:rsidP="00024568">
      <w:pPr>
        <w:pStyle w:val="ListParagraph"/>
        <w:ind w:left="432"/>
        <w:jc w:val="both"/>
        <w:rPr>
          <w:rFonts w:ascii="Arial" w:hAnsi="Arial" w:cs="Arial"/>
          <w:sz w:val="6"/>
          <w:szCs w:val="6"/>
          <w:lang w:val="fr-LU"/>
        </w:rPr>
      </w:pPr>
    </w:p>
    <w:p w:rsidR="00024568" w:rsidRDefault="00F45AD3" w:rsidP="00024568">
      <w:pPr>
        <w:pStyle w:val="ListParagraph"/>
        <w:numPr>
          <w:ilvl w:val="0"/>
          <w:numId w:val="4"/>
        </w:numPr>
        <w:jc w:val="both"/>
        <w:rPr>
          <w:rFonts w:ascii="Arial" w:hAnsi="Arial" w:cs="Arial"/>
          <w:lang w:val="fr-LU"/>
        </w:rPr>
      </w:pPr>
      <w:r w:rsidRPr="00F45AD3">
        <w:rPr>
          <w:rFonts w:ascii="Arial" w:hAnsi="Arial" w:cs="Arial"/>
          <w:u w:val="single"/>
          <w:lang w:val="fr-LU"/>
        </w:rPr>
        <w:t>Activités à caractère innovant</w:t>
      </w:r>
      <w:r w:rsidR="00024568">
        <w:rPr>
          <w:rFonts w:ascii="Arial" w:hAnsi="Arial" w:cs="Arial"/>
          <w:lang w:val="fr-LU"/>
        </w:rPr>
        <w:t>, avec un potentiel clair de croissance et un impact social et environnemental important.</w:t>
      </w:r>
    </w:p>
    <w:p w:rsidR="00024568" w:rsidRPr="00024568" w:rsidRDefault="00024568" w:rsidP="00024568">
      <w:pPr>
        <w:pStyle w:val="T6"/>
        <w:rPr>
          <w:b/>
          <w:bCs/>
        </w:rPr>
      </w:pPr>
      <w:bookmarkStart w:id="4" w:name="_GoBack"/>
      <w:bookmarkStart w:id="5" w:name="_Toc372193987"/>
      <w:bookmarkStart w:id="6" w:name="_Toc372204337"/>
      <w:bookmarkEnd w:id="4"/>
      <w:r>
        <w:rPr>
          <w:b/>
          <w:bCs/>
        </w:rPr>
        <w:t xml:space="preserve">6 - </w:t>
      </w:r>
      <w:r w:rsidRPr="00024568">
        <w:rPr>
          <w:b/>
          <w:bCs/>
        </w:rPr>
        <w:t>Critères de NON éligibilité des projets</w:t>
      </w:r>
      <w:bookmarkEnd w:id="5"/>
      <w:bookmarkEnd w:id="6"/>
    </w:p>
    <w:p w:rsidR="00024568" w:rsidRDefault="00024568" w:rsidP="00024568">
      <w:pPr>
        <w:jc w:val="both"/>
        <w:rPr>
          <w:szCs w:val="22"/>
          <w:lang w:val="fr-LU"/>
        </w:rPr>
      </w:pPr>
    </w:p>
    <w:p w:rsidR="00024568" w:rsidRDefault="00024568" w:rsidP="00024568">
      <w:pPr>
        <w:jc w:val="both"/>
        <w:rPr>
          <w:szCs w:val="22"/>
          <w:lang w:val="fr-LU"/>
        </w:rPr>
      </w:pPr>
      <w:r>
        <w:rPr>
          <w:szCs w:val="22"/>
          <w:lang w:val="fr-LU"/>
        </w:rPr>
        <w:t xml:space="preserve">Le programme </w:t>
      </w:r>
      <w:r w:rsidR="004A3BC8">
        <w:rPr>
          <w:szCs w:val="22"/>
          <w:lang w:val="fr-LU"/>
        </w:rPr>
        <w:t xml:space="preserve">PPI-OSCAN </w:t>
      </w:r>
      <w:r>
        <w:rPr>
          <w:szCs w:val="22"/>
          <w:lang w:val="fr-LU"/>
        </w:rPr>
        <w:t>ne financera pas :</w:t>
      </w: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Les projets de renforcement de capacités ou de recherche scientifique non liés à un projet de développement et/ou dans lequel les activités principales sont uniquement des séminaires et</w:t>
      </w:r>
      <w:r w:rsidR="00D44D9E">
        <w:rPr>
          <w:rFonts w:ascii="Arial" w:hAnsi="Arial" w:cs="Arial"/>
          <w:lang w:val="fr-LU"/>
        </w:rPr>
        <w:t>/ou</w:t>
      </w:r>
      <w:r>
        <w:rPr>
          <w:rFonts w:ascii="Arial" w:hAnsi="Arial" w:cs="Arial"/>
          <w:lang w:val="fr-LU"/>
        </w:rPr>
        <w:t xml:space="preserve"> des séances de formation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Les activités répétitives et les coûts récurrents de fonctionnement d'organismes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 xml:space="preserve">Les activités de </w:t>
      </w:r>
      <w:proofErr w:type="spellStart"/>
      <w:r>
        <w:rPr>
          <w:rFonts w:ascii="Arial" w:hAnsi="Arial" w:cs="Arial"/>
          <w:lang w:val="fr-LU"/>
        </w:rPr>
        <w:t>micro-crédit</w:t>
      </w:r>
      <w:r w:rsidR="00773591">
        <w:rPr>
          <w:rFonts w:ascii="Arial" w:hAnsi="Arial" w:cs="Arial"/>
          <w:lang w:val="fr-LU"/>
        </w:rPr>
        <w:t>s</w:t>
      </w:r>
      <w:proofErr w:type="spellEnd"/>
      <w:r>
        <w:rPr>
          <w:rFonts w:ascii="Arial" w:hAnsi="Arial" w:cs="Arial"/>
          <w:lang w:val="fr-LU"/>
        </w:rPr>
        <w:t xml:space="preserve"> si elles ne sont pas menées en partenariat avec des institutions spécialisées dans le domaine ;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 xml:space="preserve">Les campagnes nationales de lobbying </w:t>
      </w:r>
      <w:r>
        <w:rPr>
          <w:rFonts w:ascii="Arial" w:hAnsi="Arial" w:cs="Arial"/>
          <w:lang w:val="fr-LU" w:eastAsia="fr-FR"/>
        </w:rPr>
        <w:t xml:space="preserve">n’étant pas liées à des </w:t>
      </w:r>
      <w:r>
        <w:rPr>
          <w:rFonts w:ascii="Arial" w:hAnsi="Arial" w:cs="Arial"/>
          <w:lang w:val="fr-LU"/>
        </w:rPr>
        <w:t>actions de protection sur le terrain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Les projets axés sur l’agriculture et les projets de développement (agricole ou piscicole) qui n’ont pas un effet documenté et significatif sur une biodiversité rare et/ou menacée ou sur la réduction des émissions de gaz à effet de serre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024568">
      <w:pPr>
        <w:pStyle w:val="ListParagraph"/>
        <w:numPr>
          <w:ilvl w:val="0"/>
          <w:numId w:val="4"/>
        </w:numPr>
        <w:jc w:val="both"/>
        <w:rPr>
          <w:rFonts w:ascii="Arial" w:hAnsi="Arial" w:cs="Arial"/>
          <w:lang w:val="fr-LU"/>
        </w:rPr>
      </w:pPr>
      <w:r>
        <w:rPr>
          <w:rFonts w:ascii="Arial" w:hAnsi="Arial" w:cs="Arial"/>
          <w:lang w:val="fr-LU"/>
        </w:rPr>
        <w:t xml:space="preserve">Les projets de reboisement (plantations d’arbres allochtones et/ou fruitiers) qui n’ont pas un effet documenté et significatif sur une biodiversité rare et/ou menacée ou sur la réduction des émissions de gaz à effet de serre ; </w:t>
      </w:r>
    </w:p>
    <w:p w:rsidR="00024568" w:rsidRPr="00307F2E" w:rsidRDefault="00024568" w:rsidP="00024568">
      <w:pPr>
        <w:pStyle w:val="ListParagraph"/>
        <w:ind w:left="432"/>
        <w:jc w:val="both"/>
        <w:rPr>
          <w:rFonts w:ascii="Arial" w:hAnsi="Arial" w:cs="Arial"/>
          <w:sz w:val="6"/>
          <w:szCs w:val="6"/>
          <w:lang w:val="fr-LU"/>
        </w:rPr>
      </w:pPr>
    </w:p>
    <w:p w:rsidR="00024568" w:rsidRDefault="00024568" w:rsidP="00165C7F">
      <w:pPr>
        <w:pStyle w:val="ListParagraph"/>
        <w:numPr>
          <w:ilvl w:val="0"/>
          <w:numId w:val="4"/>
        </w:numPr>
        <w:jc w:val="both"/>
        <w:rPr>
          <w:rFonts w:ascii="Arial" w:hAnsi="Arial" w:cs="Arial"/>
          <w:lang w:val="fr-LU"/>
        </w:rPr>
      </w:pPr>
      <w:r>
        <w:rPr>
          <w:rFonts w:ascii="Arial" w:hAnsi="Arial" w:cs="Arial"/>
          <w:lang w:val="fr-LU"/>
        </w:rPr>
        <w:t>Les projets de développement rural ou de lutte contre l’érosion non directement liés à une protection d’une biodiversité rare identifiée ou à un stockage de carbone valorisé</w:t>
      </w:r>
      <w:r w:rsidR="00165C7F">
        <w:rPr>
          <w:rFonts w:ascii="Arial" w:hAnsi="Arial" w:cs="Arial"/>
          <w:lang w:val="fr-LU"/>
        </w:rPr>
        <w:t>.</w:t>
      </w:r>
    </w:p>
    <w:p w:rsidR="005D0DE0" w:rsidRDefault="005D0DE0">
      <w:pPr>
        <w:rPr>
          <w:lang w:val="fr-LU"/>
        </w:rPr>
      </w:pPr>
    </w:p>
    <w:p w:rsidR="00E31FC1" w:rsidRPr="00E31FC1" w:rsidRDefault="00E31FC1" w:rsidP="00E31FC1">
      <w:pPr>
        <w:pStyle w:val="T6"/>
        <w:rPr>
          <w:b/>
          <w:bCs/>
        </w:rPr>
      </w:pPr>
      <w:r>
        <w:rPr>
          <w:b/>
          <w:bCs/>
        </w:rPr>
        <w:t>7</w:t>
      </w:r>
      <w:r w:rsidRPr="00E31FC1">
        <w:rPr>
          <w:b/>
          <w:bCs/>
        </w:rPr>
        <w:t>. Montage institutionnel</w:t>
      </w:r>
    </w:p>
    <w:p w:rsidR="00E31FC1" w:rsidRDefault="00E31FC1" w:rsidP="00E31FC1">
      <w:pPr>
        <w:pStyle w:val="ps"/>
      </w:pPr>
      <w:r>
        <w:t xml:space="preserve">Le Centre de Coopération pour la Méditerranée de l’UICN (UICN-Med), agira comme opérateur central en assurant la maîtrise d’œuvre de la coordination globale du programme ainsi que la gestion administrative et financière de toutes ses composantes. </w:t>
      </w:r>
    </w:p>
    <w:p w:rsidR="00E31FC1" w:rsidRDefault="00E31FC1" w:rsidP="00E31FC1">
      <w:pPr>
        <w:pStyle w:val="ps"/>
      </w:pPr>
      <w:r>
        <w:t xml:space="preserve">Le financement des petits projets (Composante 1) fera l'objet de conventions de financement signées entre l'UICN-Med et les OSC bénéficiaires au niveau de chaque pays. Les versements seront effectués par tranches, sur des comptes spécifiques ouverts par les bénéficiaires, et en fonction de l'avancement des activités.    </w:t>
      </w:r>
    </w:p>
    <w:p w:rsidR="00E31FC1" w:rsidRDefault="00E31FC1" w:rsidP="00A06A96">
      <w:pPr>
        <w:pStyle w:val="ps"/>
      </w:pPr>
      <w:r>
        <w:t xml:space="preserve">Le responsable Afrique du Nord à l'UICN-Med assurera la coordination globale du programme. Dans chaque pays, </w:t>
      </w:r>
      <w:r w:rsidRPr="00E31FC1">
        <w:rPr>
          <w:b/>
          <w:bCs/>
        </w:rPr>
        <w:t>un coordonnateur</w:t>
      </w:r>
      <w:r w:rsidR="00A06A96">
        <w:rPr>
          <w:b/>
          <w:bCs/>
        </w:rPr>
        <w:t xml:space="preserve"> </w:t>
      </w:r>
      <w:r w:rsidRPr="00E31FC1">
        <w:rPr>
          <w:b/>
          <w:bCs/>
        </w:rPr>
        <w:t>national</w:t>
      </w:r>
      <w:r w:rsidR="00A06A96">
        <w:rPr>
          <w:b/>
          <w:bCs/>
        </w:rPr>
        <w:t xml:space="preserve"> sera recruté</w:t>
      </w:r>
      <w:r w:rsidRPr="00E31FC1">
        <w:rPr>
          <w:b/>
          <w:bCs/>
        </w:rPr>
        <w:t xml:space="preserve"> </w:t>
      </w:r>
      <w:r w:rsidR="00773591">
        <w:t xml:space="preserve">à plein temps </w:t>
      </w:r>
      <w:r w:rsidR="00A06A96">
        <w:t xml:space="preserve">pour </w:t>
      </w:r>
      <w:r w:rsidR="00773591">
        <w:t>assurer la maitrise d'œuvre des différentes composantes du programme</w:t>
      </w:r>
      <w:r>
        <w:t>. Il sera appuyé par un réseau d’experts pour la mise en œuvre des différentes activités.</w:t>
      </w:r>
    </w:p>
    <w:p w:rsidR="00E31FC1" w:rsidRPr="00E31FC1" w:rsidRDefault="00E31FC1"/>
    <w:sectPr w:rsidR="00E31FC1" w:rsidRPr="00E31FC1" w:rsidSect="00890EC1">
      <w:headerReference w:type="default" r:id="rId8"/>
      <w:footerReference w:type="default" r:id="rId9"/>
      <w:pgSz w:w="11906" w:h="16838"/>
      <w:pgMar w:top="2268" w:right="1080" w:bottom="15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8AF" w:rsidRDefault="007928AF" w:rsidP="00BB7211">
      <w:r>
        <w:separator/>
      </w:r>
    </w:p>
  </w:endnote>
  <w:endnote w:type="continuationSeparator" w:id="0">
    <w:p w:rsidR="007928AF" w:rsidRDefault="007928AF" w:rsidP="00BB72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53661"/>
      <w:docPartObj>
        <w:docPartGallery w:val="Page Numbers (Bottom of Page)"/>
        <w:docPartUnique/>
      </w:docPartObj>
    </w:sdtPr>
    <w:sdtContent>
      <w:p w:rsidR="007928AF" w:rsidRDefault="007928AF">
        <w:pPr>
          <w:pStyle w:val="Footer"/>
          <w:jc w:val="center"/>
        </w:pPr>
        <w:r>
          <w:rPr>
            <w:noProof/>
            <w:lang w:val="es-ES" w:eastAsia="es-ES"/>
          </w:rPr>
          <w:drawing>
            <wp:anchor distT="0" distB="0" distL="114300" distR="114300" simplePos="0" relativeHeight="251663360" behindDoc="1" locked="0" layoutInCell="1" allowOverlap="1">
              <wp:simplePos x="0" y="0"/>
              <wp:positionH relativeFrom="column">
                <wp:posOffset>5555615</wp:posOffset>
              </wp:positionH>
              <wp:positionV relativeFrom="paragraph">
                <wp:posOffset>113030</wp:posOffset>
              </wp:positionV>
              <wp:extent cx="768985" cy="429260"/>
              <wp:effectExtent l="19050" t="0" r="0" b="0"/>
              <wp:wrapNone/>
              <wp:docPr id="4" name="Picture 7" descr="C:\Users\maher.mahjoub\iucn-med\donors-partners\MAVA\mava-logo\MAVA 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her.mahjoub\iucn-med\donors-partners\MAVA\mava-logo\MAVA Foundation logo.jpg"/>
                      <pic:cNvPicPr>
                        <a:picLocks noChangeAspect="1" noChangeArrowheads="1"/>
                      </pic:cNvPicPr>
                    </pic:nvPicPr>
                    <pic:blipFill>
                      <a:blip r:embed="rId1"/>
                      <a:srcRect/>
                      <a:stretch>
                        <a:fillRect/>
                      </a:stretch>
                    </pic:blipFill>
                    <pic:spPr bwMode="auto">
                      <a:xfrm>
                        <a:off x="0" y="0"/>
                        <a:ext cx="768985" cy="42926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4384" behindDoc="1" locked="0" layoutInCell="1" allowOverlap="1">
              <wp:simplePos x="0" y="0"/>
              <wp:positionH relativeFrom="column">
                <wp:posOffset>-110159</wp:posOffset>
              </wp:positionH>
              <wp:positionV relativeFrom="paragraph">
                <wp:posOffset>-147509</wp:posOffset>
              </wp:positionV>
              <wp:extent cx="617054" cy="699715"/>
              <wp:effectExtent l="19050" t="0" r="0" b="0"/>
              <wp:wrapNone/>
              <wp:docPr id="3" name="Picture 8" descr="C:\Users\maher.mahjoub\AppData\Local\Microsoft\Windows\Temporary Internet Files\Content.Outlook\G6EZPW9J\Logo FFEM offici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her.mahjoub\AppData\Local\Microsoft\Windows\Temporary Internet Files\Content.Outlook\G6EZPW9J\Logo FFEM officiel (3).JPG"/>
                      <pic:cNvPicPr>
                        <a:picLocks noChangeAspect="1" noChangeArrowheads="1"/>
                      </pic:cNvPicPr>
                    </pic:nvPicPr>
                    <pic:blipFill>
                      <a:blip r:embed="rId2"/>
                      <a:srcRect/>
                      <a:stretch>
                        <a:fillRect/>
                      </a:stretch>
                    </pic:blipFill>
                    <pic:spPr bwMode="auto">
                      <a:xfrm>
                        <a:off x="0" y="0"/>
                        <a:ext cx="617054" cy="699715"/>
                      </a:xfrm>
                      <a:prstGeom prst="rect">
                        <a:avLst/>
                      </a:prstGeom>
                      <a:noFill/>
                      <a:ln w="9525">
                        <a:noFill/>
                        <a:miter lim="800000"/>
                        <a:headEnd/>
                        <a:tailEnd/>
                      </a:ln>
                    </pic:spPr>
                  </pic:pic>
                </a:graphicData>
              </a:graphic>
            </wp:anchor>
          </w:drawing>
        </w:r>
        <w:fldSimple w:instr=" PAGE   \* MERGEFORMAT ">
          <w:r w:rsidR="006B6692">
            <w:rPr>
              <w:noProof/>
            </w:rPr>
            <w:t>1</w:t>
          </w:r>
        </w:fldSimple>
      </w:p>
    </w:sdtContent>
  </w:sdt>
  <w:p w:rsidR="007928AF" w:rsidRDefault="00792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8AF" w:rsidRDefault="007928AF" w:rsidP="00BB7211">
      <w:r>
        <w:separator/>
      </w:r>
    </w:p>
  </w:footnote>
  <w:footnote w:type="continuationSeparator" w:id="0">
    <w:p w:rsidR="007928AF" w:rsidRDefault="007928AF" w:rsidP="00BB7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8AF" w:rsidRDefault="007928AF" w:rsidP="00BB7211">
    <w:pPr>
      <w:pStyle w:val="Header"/>
      <w:pBdr>
        <w:bottom w:val="none" w:sz="0" w:space="0" w:color="auto"/>
      </w:pBdr>
    </w:pPr>
    <w:r>
      <w:rPr>
        <w:noProof/>
        <w:lang w:val="es-ES" w:eastAsia="es-ES"/>
      </w:rPr>
      <w:pict>
        <v:shapetype id="_x0000_t202" coordsize="21600,21600" o:spt="202" path="m,l,21600r21600,l21600,xe">
          <v:stroke joinstyle="miter"/>
          <v:path gradientshapeok="t" o:connecttype="rect"/>
        </v:shapetype>
        <v:shape id="Text Box 2" o:spid="_x0000_s10241" type="#_x0000_t202" style="position:absolute;margin-left:50.45pt;margin-top:-6.2pt;width:253.4pt;height:5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" filled="f" fillcolor="yellow" stroked="f">
          <v:textbox>
            <w:txbxContent>
              <w:p w:rsidR="007928AF" w:rsidRPr="0040238C" w:rsidRDefault="007928AF" w:rsidP="00773591">
                <w:pPr>
                  <w:pStyle w:val="Header"/>
                  <w:tabs>
                    <w:tab w:val="left" w:pos="2268"/>
                    <w:tab w:val="left" w:pos="4111"/>
                  </w:tabs>
                  <w:spacing w:before="0" w:after="0"/>
                  <w:ind w:left="1418" w:right="429" w:hanging="1418"/>
                  <w:rPr>
                    <w:noProof/>
                    <w:sz w:val="14"/>
                    <w:szCs w:val="12"/>
                    <w:lang w:eastAsia="en-GB"/>
                  </w:rPr>
                </w:pPr>
                <w:r w:rsidRPr="0040238C">
                  <w:rPr>
                    <w:noProof/>
                    <w:sz w:val="14"/>
                    <w:szCs w:val="12"/>
                    <w:lang w:eastAsia="en-GB"/>
                  </w:rPr>
                  <w:t>Centre de Coopération pour la Méditerranée de l’UICN</w:t>
                </w:r>
              </w:p>
              <w:p w:rsidR="007928AF" w:rsidRPr="0040238C" w:rsidRDefault="007928AF" w:rsidP="00773591">
                <w:pPr>
                  <w:pStyle w:val="Header"/>
                  <w:tabs>
                    <w:tab w:val="left" w:pos="2268"/>
                    <w:tab w:val="left" w:pos="4111"/>
                  </w:tabs>
                  <w:spacing w:before="0" w:after="0"/>
                  <w:ind w:left="1418" w:right="429" w:hanging="1418"/>
                  <w:rPr>
                    <w:noProof/>
                    <w:sz w:val="14"/>
                    <w:szCs w:val="12"/>
                    <w:lang w:val="es-ES_tradnl" w:eastAsia="en-GB"/>
                  </w:rPr>
                </w:pPr>
                <w:r w:rsidRPr="0040238C">
                  <w:rPr>
                    <w:noProof/>
                    <w:sz w:val="14"/>
                    <w:szCs w:val="12"/>
                    <w:lang w:eastAsia="en-GB"/>
                  </w:rPr>
                  <w:t>C/ Marie Curie, 22.</w:t>
                </w:r>
                <w:r w:rsidRPr="0040238C">
                  <w:rPr>
                    <w:noProof/>
                    <w:sz w:val="14"/>
                    <w:szCs w:val="12"/>
                    <w:lang w:eastAsia="en-GB"/>
                  </w:rPr>
                  <w:tab/>
                </w:r>
                <w:r w:rsidRPr="0040238C">
                  <w:rPr>
                    <w:noProof/>
                    <w:sz w:val="14"/>
                    <w:szCs w:val="12"/>
                    <w:lang w:eastAsia="en-GB"/>
                  </w:rPr>
                  <w:tab/>
                </w:r>
                <w:r w:rsidRPr="0040238C">
                  <w:rPr>
                    <w:noProof/>
                    <w:sz w:val="14"/>
                    <w:szCs w:val="12"/>
                    <w:lang w:val="es-ES_tradnl" w:eastAsia="en-GB"/>
                  </w:rPr>
                  <w:t>Tel.: +34 952028430</w:t>
                </w:r>
              </w:p>
              <w:p w:rsidR="007928AF" w:rsidRPr="0040238C" w:rsidRDefault="007928AF" w:rsidP="00773591">
                <w:pPr>
                  <w:pStyle w:val="Header"/>
                  <w:tabs>
                    <w:tab w:val="left" w:pos="2268"/>
                    <w:tab w:val="left" w:pos="3686"/>
                  </w:tabs>
                  <w:spacing w:before="0" w:after="0"/>
                  <w:ind w:left="1418" w:right="429" w:hanging="1418"/>
                  <w:rPr>
                    <w:b/>
                    <w:noProof/>
                    <w:sz w:val="14"/>
                    <w:szCs w:val="12"/>
                    <w:lang w:val="es-ES_tradnl" w:eastAsia="en-GB"/>
                  </w:rPr>
                </w:pPr>
                <w:r w:rsidRPr="0040238C">
                  <w:rPr>
                    <w:noProof/>
                    <w:sz w:val="14"/>
                    <w:szCs w:val="12"/>
                    <w:lang w:val="es-ES_tradnl" w:eastAsia="en-GB"/>
                  </w:rPr>
                  <w:t>29590 Campanillas</w:t>
                </w:r>
                <w:r w:rsidRPr="0040238C">
                  <w:rPr>
                    <w:noProof/>
                    <w:sz w:val="14"/>
                    <w:szCs w:val="12"/>
                    <w:lang w:val="es-ES_tradnl" w:eastAsia="en-GB"/>
                  </w:rPr>
                  <w:tab/>
                </w:r>
                <w:r w:rsidRPr="0040238C">
                  <w:rPr>
                    <w:noProof/>
                    <w:sz w:val="14"/>
                    <w:szCs w:val="12"/>
                    <w:lang w:val="es-ES_tradnl" w:eastAsia="en-GB"/>
                  </w:rPr>
                  <w:tab/>
                  <w:t>Fax : +34 952028145</w:t>
                </w:r>
              </w:p>
              <w:p w:rsidR="007928AF" w:rsidRPr="0040238C" w:rsidRDefault="007928AF" w:rsidP="00773591">
                <w:pPr>
                  <w:pStyle w:val="Header"/>
                  <w:tabs>
                    <w:tab w:val="left" w:pos="2268"/>
                    <w:tab w:val="left" w:pos="3686"/>
                  </w:tabs>
                  <w:spacing w:before="0" w:after="0"/>
                  <w:ind w:left="1418" w:right="429" w:hanging="1418"/>
                  <w:rPr>
                    <w:noProof/>
                    <w:sz w:val="14"/>
                    <w:szCs w:val="12"/>
                    <w:lang w:val="es-ES_tradnl" w:eastAsia="en-GB"/>
                  </w:rPr>
                </w:pPr>
                <w:r w:rsidRPr="0040238C">
                  <w:rPr>
                    <w:noProof/>
                    <w:sz w:val="14"/>
                    <w:szCs w:val="12"/>
                    <w:lang w:val="es-ES_tradnl" w:eastAsia="en-GB"/>
                  </w:rPr>
                  <w:t>Malaga, Espagne</w:t>
                </w:r>
                <w:r w:rsidRPr="0040238C">
                  <w:rPr>
                    <w:noProof/>
                    <w:sz w:val="14"/>
                    <w:szCs w:val="12"/>
                    <w:lang w:val="es-ES_tradnl" w:eastAsia="en-GB"/>
                  </w:rPr>
                  <w:tab/>
                </w:r>
                <w:r w:rsidRPr="0040238C">
                  <w:rPr>
                    <w:noProof/>
                    <w:sz w:val="14"/>
                    <w:szCs w:val="12"/>
                    <w:lang w:val="es-ES_tradnl" w:eastAsia="en-GB"/>
                  </w:rPr>
                  <w:tab/>
                  <w:t>uicnmed@iucn.org</w:t>
                </w:r>
              </w:p>
              <w:p w:rsidR="007928AF" w:rsidRPr="0040238C" w:rsidRDefault="007928AF" w:rsidP="00773591">
                <w:pPr>
                  <w:pStyle w:val="Header"/>
                  <w:tabs>
                    <w:tab w:val="left" w:pos="2268"/>
                    <w:tab w:val="left" w:pos="4536"/>
                  </w:tabs>
                  <w:ind w:left="1418" w:right="429" w:hanging="1418"/>
                  <w:rPr>
                    <w:noProof/>
                    <w:sz w:val="14"/>
                    <w:szCs w:val="12"/>
                    <w:lang w:val="es-ES_tradnl" w:eastAsia="en-GB"/>
                  </w:rPr>
                </w:pPr>
                <w:r w:rsidRPr="0040238C">
                  <w:rPr>
                    <w:noProof/>
                    <w:sz w:val="14"/>
                    <w:szCs w:val="12"/>
                    <w:lang w:val="es-ES_tradnl" w:eastAsia="en-GB"/>
                  </w:rPr>
                  <w:t>www.iucn.org/mediterranean</w:t>
                </w:r>
              </w:p>
            </w:txbxContent>
          </v:textbox>
          <w10:wrap type="square"/>
        </v:shape>
      </w:pict>
    </w:r>
    <w:r>
      <w:rPr>
        <w:noProof/>
        <w:lang w:val="es-ES" w:eastAsia="es-ES"/>
      </w:rPr>
      <w:drawing>
        <wp:anchor distT="0" distB="0" distL="114300" distR="114300" simplePos="0" relativeHeight="251661312" behindDoc="1" locked="0" layoutInCell="1" allowOverlap="1">
          <wp:simplePos x="0" y="0"/>
          <wp:positionH relativeFrom="column">
            <wp:posOffset>-189671</wp:posOffset>
          </wp:positionH>
          <wp:positionV relativeFrom="paragraph">
            <wp:posOffset>-338263</wp:posOffset>
          </wp:positionV>
          <wp:extent cx="752227" cy="715618"/>
          <wp:effectExtent l="19050" t="0" r="0" b="0"/>
          <wp:wrapNone/>
          <wp:docPr id="1" name="Picture 1" descr="UI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CN logo"/>
                  <pic:cNvPicPr>
                    <a:picLocks noChangeAspect="1" noChangeArrowheads="1"/>
                  </pic:cNvPicPr>
                </pic:nvPicPr>
                <pic:blipFill>
                  <a:blip r:embed="rId1"/>
                  <a:srcRect/>
                  <a:stretch>
                    <a:fillRect/>
                  </a:stretch>
                </pic:blipFill>
                <pic:spPr bwMode="auto">
                  <a:xfrm>
                    <a:off x="0" y="0"/>
                    <a:ext cx="752227" cy="7156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764A34"/>
    <w:lvl w:ilvl="0">
      <w:start w:val="1"/>
      <w:numFmt w:val="upperRoman"/>
      <w:lvlText w:val="%1"/>
      <w:lvlJc w:val="left"/>
      <w:pPr>
        <w:tabs>
          <w:tab w:val="num" w:pos="716"/>
        </w:tabs>
        <w:ind w:left="716" w:hanging="432"/>
      </w:pPr>
      <w:rPr>
        <w:rFonts w:ascii="Arial" w:hAnsi="Arial" w:cs="Symbol" w:hint="default"/>
        <w:sz w:val="24"/>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ascii="Symbol" w:hAnsi="Symbol" w:cs="Symbol" w:hint="default"/>
        <w:sz w:val="24"/>
      </w:rPr>
    </w:lvl>
    <w:lvl w:ilvl="3">
      <w:start w:val="1"/>
      <w:numFmt w:val="decimal"/>
      <w:lvlText w:val="%1.%2.%3.%4"/>
      <w:lvlJc w:val="left"/>
      <w:pPr>
        <w:tabs>
          <w:tab w:val="num" w:pos="864"/>
        </w:tabs>
        <w:ind w:left="864" w:hanging="864"/>
      </w:pPr>
      <w:rPr>
        <w:rFonts w:ascii="Symbol" w:hAnsi="Symbol" w:cs="Symbol" w:hint="default"/>
        <w:sz w:val="24"/>
      </w:rPr>
    </w:lvl>
    <w:lvl w:ilvl="4">
      <w:start w:val="1"/>
      <w:numFmt w:val="decimal"/>
      <w:lvlText w:val="%1.%2.%3.%4.%5"/>
      <w:lvlJc w:val="left"/>
      <w:pPr>
        <w:tabs>
          <w:tab w:val="num" w:pos="1008"/>
        </w:tabs>
        <w:ind w:left="1008" w:hanging="1008"/>
      </w:pPr>
      <w:rPr>
        <w:rFonts w:ascii="Symbol" w:hAnsi="Symbol" w:cs="Symbol" w:hint="default"/>
        <w:sz w:val="24"/>
      </w:rPr>
    </w:lvl>
    <w:lvl w:ilvl="5">
      <w:start w:val="1"/>
      <w:numFmt w:val="decimal"/>
      <w:lvlText w:val="%1.%2.%3.%4.%5.%6"/>
      <w:lvlJc w:val="left"/>
      <w:pPr>
        <w:tabs>
          <w:tab w:val="num" w:pos="1152"/>
        </w:tabs>
        <w:ind w:left="1152" w:hanging="1152"/>
      </w:pPr>
      <w:rPr>
        <w:rFonts w:ascii="Symbol" w:hAnsi="Symbol" w:cs="Symbol" w:hint="default"/>
        <w:sz w:val="24"/>
      </w:rPr>
    </w:lvl>
    <w:lvl w:ilvl="6">
      <w:start w:val="1"/>
      <w:numFmt w:val="decimal"/>
      <w:lvlText w:val="%1.%2.%3.%4.%5.%6.%7"/>
      <w:lvlJc w:val="left"/>
      <w:pPr>
        <w:tabs>
          <w:tab w:val="num" w:pos="1296"/>
        </w:tabs>
        <w:ind w:left="1296" w:hanging="1296"/>
      </w:pPr>
      <w:rPr>
        <w:rFonts w:ascii="Symbol" w:hAnsi="Symbol" w:cs="Symbol" w:hint="default"/>
        <w:sz w:val="24"/>
      </w:rPr>
    </w:lvl>
    <w:lvl w:ilvl="7">
      <w:start w:val="1"/>
      <w:numFmt w:val="decimal"/>
      <w:lvlText w:val="%1.%2.%3.%4.%5.%6.%7.%8"/>
      <w:lvlJc w:val="left"/>
      <w:pPr>
        <w:tabs>
          <w:tab w:val="num" w:pos="1440"/>
        </w:tabs>
        <w:ind w:left="1440" w:hanging="1440"/>
      </w:pPr>
      <w:rPr>
        <w:rFonts w:ascii="Symbol" w:hAnsi="Symbol" w:cs="Symbol" w:hint="default"/>
        <w:sz w:val="24"/>
      </w:rPr>
    </w:lvl>
    <w:lvl w:ilvl="8">
      <w:start w:val="1"/>
      <w:numFmt w:val="decimal"/>
      <w:lvlText w:val="%1.%2.%3.%4.%5.%6.%7.%8.%9"/>
      <w:lvlJc w:val="left"/>
      <w:pPr>
        <w:tabs>
          <w:tab w:val="num" w:pos="1584"/>
        </w:tabs>
        <w:ind w:left="1584" w:hanging="1584"/>
      </w:pPr>
      <w:rPr>
        <w:rFonts w:ascii="Symbol" w:hAnsi="Symbol" w:cs="Symbol" w:hint="default"/>
        <w:sz w:val="24"/>
      </w:rPr>
    </w:lvl>
  </w:abstractNum>
  <w:abstractNum w:abstractNumId="1">
    <w:nsid w:val="0000000A"/>
    <w:multiLevelType w:val="multilevel"/>
    <w:tmpl w:val="0000000A"/>
    <w:name w:val="WW8Num12"/>
    <w:lvl w:ilvl="0">
      <w:start w:val="1"/>
      <w:numFmt w:val="bullet"/>
      <w:lvlText w:val=""/>
      <w:lvlJc w:val="left"/>
      <w:pPr>
        <w:tabs>
          <w:tab w:val="num" w:pos="432"/>
        </w:tabs>
        <w:ind w:left="432" w:hanging="432"/>
      </w:pPr>
      <w:rPr>
        <w:rFonts w:ascii="Symbol" w:hAnsi="Symbol" w:cs="Arial"/>
      </w:rPr>
    </w:lvl>
    <w:lvl w:ilvl="1">
      <w:start w:val="1"/>
      <w:numFmt w:val="decimal"/>
      <w:lvlText w:val="%1.%2"/>
      <w:lvlJc w:val="left"/>
      <w:pPr>
        <w:tabs>
          <w:tab w:val="num" w:pos="454"/>
        </w:tabs>
        <w:ind w:left="454" w:hanging="454"/>
      </w:pPr>
      <w:rPr>
        <w:rFonts w:cs="Times New Roman"/>
        <w:u w:val="none"/>
      </w:rPr>
    </w:lvl>
    <w:lvl w:ilvl="2">
      <w:start w:val="1"/>
      <w:numFmt w:val="decimal"/>
      <w:lvlText w:val="%1.%2.%3"/>
      <w:lvlJc w:val="left"/>
      <w:pPr>
        <w:tabs>
          <w:tab w:val="num" w:pos="3318"/>
        </w:tabs>
        <w:ind w:left="3318" w:hanging="624"/>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14"/>
    <w:multiLevelType w:val="multilevel"/>
    <w:tmpl w:val="00000014"/>
    <w:name w:val="WW8Num2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440" w:hanging="360"/>
      </w:pPr>
      <w:rPr>
        <w:rFonts w:ascii="Times New Roman" w:eastAsia="MS Mincho" w:hAnsi="Times New Roman" w:cs="Times New Roman"/>
        <w:sz w:val="24"/>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9"/>
    <w:multiLevelType w:val="singleLevel"/>
    <w:tmpl w:val="00000019"/>
    <w:name w:val="WW8Num28"/>
    <w:lvl w:ilvl="0">
      <w:start w:val="1"/>
      <w:numFmt w:val="bullet"/>
      <w:lvlText w:val=""/>
      <w:lvlJc w:val="left"/>
      <w:pPr>
        <w:tabs>
          <w:tab w:val="num" w:pos="0"/>
        </w:tabs>
        <w:ind w:left="720" w:hanging="360"/>
      </w:pPr>
      <w:rPr>
        <w:rFonts w:ascii="Symbol" w:hAnsi="Symbol" w:cs="Symbol"/>
      </w:rPr>
    </w:lvl>
  </w:abstractNum>
  <w:abstractNum w:abstractNumId="4">
    <w:nsid w:val="0000001D"/>
    <w:multiLevelType w:val="multilevel"/>
    <w:tmpl w:val="0000001D"/>
    <w:name w:val="WW8Num3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5">
    <w:nsid w:val="031D177A"/>
    <w:multiLevelType w:val="hybridMultilevel"/>
    <w:tmpl w:val="A412B1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7D11BA"/>
    <w:multiLevelType w:val="multilevel"/>
    <w:tmpl w:val="9D58C7F2"/>
    <w:lvl w:ilvl="0">
      <w:start w:val="1"/>
      <w:numFmt w:val="bullet"/>
      <w:lvlText w:val=""/>
      <w:lvlJc w:val="left"/>
      <w:pPr>
        <w:tabs>
          <w:tab w:val="num" w:pos="432"/>
        </w:tabs>
        <w:ind w:left="432" w:hanging="432"/>
      </w:pPr>
      <w:rPr>
        <w:rFonts w:ascii="Symbol" w:hAnsi="Symbol" w:hint="default"/>
        <w:sz w:val="20"/>
      </w:rPr>
    </w:lvl>
    <w:lvl w:ilvl="1">
      <w:start w:val="1"/>
      <w:numFmt w:val="decimal"/>
      <w:lvlText w:val="%1.%2"/>
      <w:lvlJc w:val="left"/>
      <w:pPr>
        <w:tabs>
          <w:tab w:val="num" w:pos="454"/>
        </w:tabs>
        <w:ind w:left="454" w:hanging="454"/>
      </w:pPr>
      <w:rPr>
        <w:rFonts w:cs="Times New Roman" w:hint="default"/>
        <w:u w:val="none"/>
      </w:rPr>
    </w:lvl>
    <w:lvl w:ilvl="2">
      <w:start w:val="1"/>
      <w:numFmt w:val="decimal"/>
      <w:lvlText w:val="%1.%2.%3"/>
      <w:lvlJc w:val="left"/>
      <w:pPr>
        <w:tabs>
          <w:tab w:val="num" w:pos="3318"/>
        </w:tabs>
        <w:ind w:left="3318" w:hanging="62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08"/>
  <w:hyphenationZone w:val="425"/>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5C223C"/>
    <w:rsid w:val="00015998"/>
    <w:rsid w:val="00024568"/>
    <w:rsid w:val="00055BA3"/>
    <w:rsid w:val="001414FA"/>
    <w:rsid w:val="00165C7F"/>
    <w:rsid w:val="002F4CCB"/>
    <w:rsid w:val="00304807"/>
    <w:rsid w:val="00307F2E"/>
    <w:rsid w:val="003D5282"/>
    <w:rsid w:val="00414EB6"/>
    <w:rsid w:val="00477A98"/>
    <w:rsid w:val="00481BA0"/>
    <w:rsid w:val="004A0396"/>
    <w:rsid w:val="004A3BC8"/>
    <w:rsid w:val="004B343D"/>
    <w:rsid w:val="005141D6"/>
    <w:rsid w:val="00540AAA"/>
    <w:rsid w:val="005510D8"/>
    <w:rsid w:val="005C223C"/>
    <w:rsid w:val="005D0DE0"/>
    <w:rsid w:val="00631045"/>
    <w:rsid w:val="006612C7"/>
    <w:rsid w:val="006B02AD"/>
    <w:rsid w:val="006B6692"/>
    <w:rsid w:val="00773591"/>
    <w:rsid w:val="007928AF"/>
    <w:rsid w:val="008433B4"/>
    <w:rsid w:val="00890EC1"/>
    <w:rsid w:val="008E414D"/>
    <w:rsid w:val="00900E5D"/>
    <w:rsid w:val="00906980"/>
    <w:rsid w:val="00957B70"/>
    <w:rsid w:val="00957BCE"/>
    <w:rsid w:val="009628A9"/>
    <w:rsid w:val="00974530"/>
    <w:rsid w:val="00A06A96"/>
    <w:rsid w:val="00A56117"/>
    <w:rsid w:val="00B95165"/>
    <w:rsid w:val="00BB6398"/>
    <w:rsid w:val="00BB7211"/>
    <w:rsid w:val="00BF3B67"/>
    <w:rsid w:val="00C50497"/>
    <w:rsid w:val="00C95BC9"/>
    <w:rsid w:val="00D44D9E"/>
    <w:rsid w:val="00DF1B72"/>
    <w:rsid w:val="00E31FC1"/>
    <w:rsid w:val="00E96AA4"/>
    <w:rsid w:val="00EE6E40"/>
    <w:rsid w:val="00F1783B"/>
    <w:rsid w:val="00F30DF9"/>
    <w:rsid w:val="00F45AD3"/>
    <w:rsid w:val="00F70F6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ind w:left="3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3C"/>
    <w:pPr>
      <w:suppressAutoHyphens/>
      <w:spacing w:after="0"/>
      <w:ind w:left="0" w:firstLine="0"/>
    </w:pPr>
    <w:rPr>
      <w:rFonts w:ascii="Arial" w:eastAsia="MS Mincho" w:hAnsi="Arial" w:cs="Arial"/>
      <w:szCs w:val="20"/>
      <w:lang w:val="fr-FR" w:eastAsia="ar-SA"/>
    </w:rPr>
  </w:style>
  <w:style w:type="paragraph" w:styleId="Heading2">
    <w:name w:val="heading 2"/>
    <w:basedOn w:val="Normal"/>
    <w:next w:val="ps"/>
    <w:link w:val="Heading2Char"/>
    <w:qFormat/>
    <w:rsid w:val="0002456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
    <w:name w:val="ps"/>
    <w:basedOn w:val="Normal"/>
    <w:uiPriority w:val="99"/>
    <w:rsid w:val="005C223C"/>
    <w:pPr>
      <w:keepLines/>
      <w:spacing w:before="200"/>
      <w:jc w:val="both"/>
    </w:pPr>
    <w:rPr>
      <w:rFonts w:cs="Times New Roman"/>
    </w:rPr>
  </w:style>
  <w:style w:type="paragraph" w:styleId="Header">
    <w:name w:val="header"/>
    <w:basedOn w:val="Normal"/>
    <w:link w:val="HeaderChar"/>
    <w:uiPriority w:val="99"/>
    <w:rsid w:val="005C223C"/>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5C223C"/>
    <w:rPr>
      <w:rFonts w:ascii="Arial" w:eastAsia="MS Mincho" w:hAnsi="Arial" w:cs="Arial"/>
      <w:i/>
      <w:iCs/>
      <w:sz w:val="20"/>
      <w:szCs w:val="20"/>
      <w:lang w:val="fr-FR" w:eastAsia="ar-SA"/>
    </w:rPr>
  </w:style>
  <w:style w:type="paragraph" w:customStyle="1" w:styleId="ea">
    <w:name w:val="ea"/>
    <w:basedOn w:val="Normal"/>
    <w:rsid w:val="005C223C"/>
    <w:pPr>
      <w:keepLines/>
      <w:tabs>
        <w:tab w:val="left" w:pos="284"/>
        <w:tab w:val="num" w:pos="340"/>
      </w:tabs>
      <w:spacing w:before="120"/>
      <w:ind w:left="340" w:hanging="340"/>
      <w:jc w:val="both"/>
    </w:pPr>
    <w:rPr>
      <w:szCs w:val="22"/>
    </w:rPr>
  </w:style>
  <w:style w:type="paragraph" w:customStyle="1" w:styleId="T5">
    <w:name w:val="T5"/>
    <w:basedOn w:val="Normal"/>
    <w:rsid w:val="005C223C"/>
    <w:pPr>
      <w:spacing w:before="200"/>
      <w:jc w:val="both"/>
    </w:pPr>
    <w:rPr>
      <w:b/>
      <w:i/>
    </w:rPr>
  </w:style>
  <w:style w:type="paragraph" w:customStyle="1" w:styleId="T6">
    <w:name w:val="T6"/>
    <w:basedOn w:val="Normal"/>
    <w:rsid w:val="005C223C"/>
    <w:pPr>
      <w:spacing w:before="280"/>
    </w:pPr>
    <w:rPr>
      <w:i/>
    </w:rPr>
  </w:style>
  <w:style w:type="paragraph" w:styleId="ListParagraph">
    <w:name w:val="List Paragraph"/>
    <w:basedOn w:val="Normal"/>
    <w:uiPriority w:val="34"/>
    <w:qFormat/>
    <w:rsid w:val="005C223C"/>
    <w:pPr>
      <w:ind w:left="720"/>
    </w:pPr>
    <w:rPr>
      <w:rFonts w:ascii="Times New Roman" w:eastAsia="Times New Roman" w:hAnsi="Times New Roman" w:cs="Times New Roman"/>
      <w:szCs w:val="22"/>
    </w:rPr>
  </w:style>
  <w:style w:type="paragraph" w:styleId="Footer">
    <w:name w:val="footer"/>
    <w:basedOn w:val="Normal"/>
    <w:link w:val="FooterChar"/>
    <w:uiPriority w:val="99"/>
    <w:unhideWhenUsed/>
    <w:rsid w:val="00BB7211"/>
    <w:pPr>
      <w:tabs>
        <w:tab w:val="center" w:pos="4252"/>
        <w:tab w:val="right" w:pos="8504"/>
      </w:tabs>
    </w:pPr>
  </w:style>
  <w:style w:type="character" w:customStyle="1" w:styleId="FooterChar">
    <w:name w:val="Footer Char"/>
    <w:basedOn w:val="DefaultParagraphFont"/>
    <w:link w:val="Footer"/>
    <w:uiPriority w:val="99"/>
    <w:rsid w:val="00BB7211"/>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BB7211"/>
    <w:rPr>
      <w:rFonts w:ascii="Tahoma" w:hAnsi="Tahoma" w:cs="Tahoma"/>
      <w:sz w:val="16"/>
      <w:szCs w:val="16"/>
    </w:rPr>
  </w:style>
  <w:style w:type="character" w:customStyle="1" w:styleId="BalloonTextChar">
    <w:name w:val="Balloon Text Char"/>
    <w:basedOn w:val="DefaultParagraphFont"/>
    <w:link w:val="BalloonText"/>
    <w:uiPriority w:val="99"/>
    <w:semiHidden/>
    <w:rsid w:val="00BB7211"/>
    <w:rPr>
      <w:rFonts w:ascii="Tahoma" w:eastAsia="MS Mincho" w:hAnsi="Tahoma" w:cs="Tahoma"/>
      <w:sz w:val="16"/>
      <w:szCs w:val="16"/>
      <w:lang w:val="fr-FR" w:eastAsia="ar-SA"/>
    </w:rPr>
  </w:style>
  <w:style w:type="character" w:customStyle="1" w:styleId="Heading2Char">
    <w:name w:val="Heading 2 Char"/>
    <w:basedOn w:val="DefaultParagraphFont"/>
    <w:link w:val="Heading2"/>
    <w:rsid w:val="00024568"/>
    <w:rPr>
      <w:rFonts w:ascii="Arial Gras" w:eastAsia="MS Mincho" w:hAnsi="Arial Gras" w:cs="Arial Gras"/>
      <w:b/>
      <w:bCs/>
      <w:sz w:val="28"/>
      <w:szCs w:val="28"/>
      <w:u w:val="single"/>
      <w:lang w:val="fr-FR" w:eastAsia="ar-SA"/>
    </w:rPr>
  </w:style>
  <w:style w:type="paragraph" w:customStyle="1" w:styleId="ListParagraph1">
    <w:name w:val="List Paragraph1"/>
    <w:basedOn w:val="Normal"/>
    <w:rsid w:val="00024568"/>
    <w:pPr>
      <w:spacing w:after="120"/>
      <w:ind w:left="720"/>
      <w:jc w:val="both"/>
    </w:pPr>
    <w:rPr>
      <w:sz w:val="20"/>
    </w:rPr>
  </w:style>
  <w:style w:type="character" w:styleId="Hyperlink">
    <w:name w:val="Hyperlink"/>
    <w:basedOn w:val="DefaultParagraphFont"/>
    <w:uiPriority w:val="99"/>
    <w:unhideWhenUsed/>
    <w:rsid w:val="008E414D"/>
    <w:rPr>
      <w:color w:val="0000FF" w:themeColor="hyperlink"/>
      <w:u w:val="single"/>
    </w:rPr>
  </w:style>
  <w:style w:type="paragraph" w:customStyle="1" w:styleId="T2">
    <w:name w:val="T2"/>
    <w:basedOn w:val="Normal"/>
    <w:next w:val="Normal"/>
    <w:rsid w:val="00E31FC1"/>
    <w:pPr>
      <w:keepNext/>
      <w:keepLines/>
      <w:spacing w:before="300"/>
      <w:jc w:val="both"/>
    </w:pPr>
    <w:rPr>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ind w:left="39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3C"/>
    <w:pPr>
      <w:suppressAutoHyphens/>
      <w:spacing w:after="0"/>
      <w:ind w:left="0" w:firstLine="0"/>
    </w:pPr>
    <w:rPr>
      <w:rFonts w:ascii="Arial" w:eastAsia="MS Mincho" w:hAnsi="Arial" w:cs="Arial"/>
      <w:szCs w:val="20"/>
      <w:lang w:val="fr-FR" w:eastAsia="ar-SA"/>
    </w:rPr>
  </w:style>
  <w:style w:type="paragraph" w:styleId="Heading2">
    <w:name w:val="heading 2"/>
    <w:basedOn w:val="Normal"/>
    <w:next w:val="ps"/>
    <w:link w:val="Heading2Char"/>
    <w:qFormat/>
    <w:rsid w:val="00024568"/>
    <w:pPr>
      <w:tabs>
        <w:tab w:val="num" w:pos="454"/>
      </w:tabs>
      <w:spacing w:before="360"/>
      <w:ind w:left="454" w:hanging="454"/>
      <w:jc w:val="both"/>
      <w:outlineLvl w:val="1"/>
    </w:pPr>
    <w:rPr>
      <w:rFonts w:ascii="Arial Gras" w:hAnsi="Arial Gras" w:cs="Arial Gras"/>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
    <w:name w:val="ps"/>
    <w:basedOn w:val="Normal"/>
    <w:uiPriority w:val="99"/>
    <w:rsid w:val="005C223C"/>
    <w:pPr>
      <w:keepLines/>
      <w:spacing w:before="200"/>
      <w:jc w:val="both"/>
    </w:pPr>
    <w:rPr>
      <w:rFonts w:cs="Times New Roman"/>
    </w:rPr>
  </w:style>
  <w:style w:type="paragraph" w:styleId="Header">
    <w:name w:val="header"/>
    <w:basedOn w:val="Normal"/>
    <w:link w:val="HeaderChar"/>
    <w:uiPriority w:val="99"/>
    <w:rsid w:val="005C223C"/>
    <w:pPr>
      <w:keepLines/>
      <w:pBdr>
        <w:bottom w:val="single" w:sz="4" w:space="6" w:color="000000"/>
      </w:pBdr>
      <w:spacing w:before="80" w:after="240"/>
    </w:pPr>
    <w:rPr>
      <w:i/>
      <w:iCs/>
      <w:sz w:val="20"/>
    </w:rPr>
  </w:style>
  <w:style w:type="character" w:customStyle="1" w:styleId="HeaderChar">
    <w:name w:val="Header Char"/>
    <w:basedOn w:val="DefaultParagraphFont"/>
    <w:link w:val="Header"/>
    <w:uiPriority w:val="99"/>
    <w:rsid w:val="005C223C"/>
    <w:rPr>
      <w:rFonts w:ascii="Arial" w:eastAsia="MS Mincho" w:hAnsi="Arial" w:cs="Arial"/>
      <w:i/>
      <w:iCs/>
      <w:sz w:val="20"/>
      <w:szCs w:val="20"/>
      <w:lang w:val="fr-FR" w:eastAsia="ar-SA"/>
    </w:rPr>
  </w:style>
  <w:style w:type="paragraph" w:customStyle="1" w:styleId="ea">
    <w:name w:val="ea"/>
    <w:basedOn w:val="Normal"/>
    <w:rsid w:val="005C223C"/>
    <w:pPr>
      <w:keepLines/>
      <w:tabs>
        <w:tab w:val="left" w:pos="284"/>
        <w:tab w:val="num" w:pos="340"/>
      </w:tabs>
      <w:spacing w:before="120"/>
      <w:ind w:left="340" w:hanging="340"/>
      <w:jc w:val="both"/>
    </w:pPr>
    <w:rPr>
      <w:szCs w:val="22"/>
    </w:rPr>
  </w:style>
  <w:style w:type="paragraph" w:customStyle="1" w:styleId="T5">
    <w:name w:val="T5"/>
    <w:basedOn w:val="Normal"/>
    <w:rsid w:val="005C223C"/>
    <w:pPr>
      <w:spacing w:before="200"/>
      <w:jc w:val="both"/>
    </w:pPr>
    <w:rPr>
      <w:b/>
      <w:i/>
    </w:rPr>
  </w:style>
  <w:style w:type="paragraph" w:customStyle="1" w:styleId="T6">
    <w:name w:val="T6"/>
    <w:basedOn w:val="Normal"/>
    <w:rsid w:val="005C223C"/>
    <w:pPr>
      <w:spacing w:before="280"/>
    </w:pPr>
    <w:rPr>
      <w:i/>
    </w:rPr>
  </w:style>
  <w:style w:type="paragraph" w:styleId="ListParagraph">
    <w:name w:val="List Paragraph"/>
    <w:basedOn w:val="Normal"/>
    <w:uiPriority w:val="34"/>
    <w:qFormat/>
    <w:rsid w:val="005C223C"/>
    <w:pPr>
      <w:ind w:left="720"/>
    </w:pPr>
    <w:rPr>
      <w:rFonts w:ascii="Times New Roman" w:eastAsia="Times New Roman" w:hAnsi="Times New Roman" w:cs="Times New Roman"/>
      <w:szCs w:val="22"/>
    </w:rPr>
  </w:style>
  <w:style w:type="paragraph" w:styleId="Footer">
    <w:name w:val="footer"/>
    <w:basedOn w:val="Normal"/>
    <w:link w:val="FooterChar"/>
    <w:uiPriority w:val="99"/>
    <w:unhideWhenUsed/>
    <w:rsid w:val="00BB7211"/>
    <w:pPr>
      <w:tabs>
        <w:tab w:val="center" w:pos="4252"/>
        <w:tab w:val="right" w:pos="8504"/>
      </w:tabs>
    </w:pPr>
  </w:style>
  <w:style w:type="character" w:customStyle="1" w:styleId="FooterChar">
    <w:name w:val="Footer Char"/>
    <w:basedOn w:val="DefaultParagraphFont"/>
    <w:link w:val="Footer"/>
    <w:uiPriority w:val="99"/>
    <w:rsid w:val="00BB7211"/>
    <w:rPr>
      <w:rFonts w:ascii="Arial" w:eastAsia="MS Mincho" w:hAnsi="Arial" w:cs="Arial"/>
      <w:szCs w:val="20"/>
      <w:lang w:val="fr-FR" w:eastAsia="ar-SA"/>
    </w:rPr>
  </w:style>
  <w:style w:type="paragraph" w:styleId="BalloonText">
    <w:name w:val="Balloon Text"/>
    <w:basedOn w:val="Normal"/>
    <w:link w:val="BalloonTextChar"/>
    <w:uiPriority w:val="99"/>
    <w:semiHidden/>
    <w:unhideWhenUsed/>
    <w:rsid w:val="00BB7211"/>
    <w:rPr>
      <w:rFonts w:ascii="Tahoma" w:hAnsi="Tahoma" w:cs="Tahoma"/>
      <w:sz w:val="16"/>
      <w:szCs w:val="16"/>
    </w:rPr>
  </w:style>
  <w:style w:type="character" w:customStyle="1" w:styleId="BalloonTextChar">
    <w:name w:val="Balloon Text Char"/>
    <w:basedOn w:val="DefaultParagraphFont"/>
    <w:link w:val="BalloonText"/>
    <w:uiPriority w:val="99"/>
    <w:semiHidden/>
    <w:rsid w:val="00BB7211"/>
    <w:rPr>
      <w:rFonts w:ascii="Tahoma" w:eastAsia="MS Mincho" w:hAnsi="Tahoma" w:cs="Tahoma"/>
      <w:sz w:val="16"/>
      <w:szCs w:val="16"/>
      <w:lang w:val="fr-FR" w:eastAsia="ar-SA"/>
    </w:rPr>
  </w:style>
  <w:style w:type="character" w:customStyle="1" w:styleId="Heading2Char">
    <w:name w:val="Heading 2 Char"/>
    <w:basedOn w:val="DefaultParagraphFont"/>
    <w:link w:val="Heading2"/>
    <w:rsid w:val="00024568"/>
    <w:rPr>
      <w:rFonts w:ascii="Arial Gras" w:eastAsia="MS Mincho" w:hAnsi="Arial Gras" w:cs="Arial Gras"/>
      <w:b/>
      <w:bCs/>
      <w:sz w:val="28"/>
      <w:szCs w:val="28"/>
      <w:u w:val="single"/>
      <w:lang w:val="fr-FR" w:eastAsia="ar-SA"/>
    </w:rPr>
  </w:style>
  <w:style w:type="paragraph" w:customStyle="1" w:styleId="ListParagraph1">
    <w:name w:val="List Paragraph1"/>
    <w:basedOn w:val="Normal"/>
    <w:rsid w:val="00024568"/>
    <w:pPr>
      <w:spacing w:after="120"/>
      <w:ind w:left="720"/>
      <w:jc w:val="both"/>
    </w:pPr>
    <w:rPr>
      <w:sz w:val="20"/>
    </w:rPr>
  </w:style>
  <w:style w:type="character" w:styleId="Hyperlink">
    <w:name w:val="Hyperlink"/>
    <w:basedOn w:val="DefaultParagraphFont"/>
    <w:uiPriority w:val="99"/>
    <w:unhideWhenUsed/>
    <w:rsid w:val="008E414D"/>
    <w:rPr>
      <w:color w:val="0000FF" w:themeColor="hyperlink"/>
      <w:u w:val="single"/>
    </w:rPr>
  </w:style>
  <w:style w:type="paragraph" w:customStyle="1" w:styleId="T2">
    <w:name w:val="T2"/>
    <w:basedOn w:val="Normal"/>
    <w:next w:val="Normal"/>
    <w:rsid w:val="00E31FC1"/>
    <w:pPr>
      <w:keepNext/>
      <w:keepLines/>
      <w:spacing w:before="300"/>
      <w:jc w:val="both"/>
    </w:pPr>
    <w:rPr>
      <w:b/>
      <w:sz w:val="24"/>
      <w:szCs w:val="24"/>
      <w:u w:val="single"/>
    </w:rPr>
  </w:style>
</w:styles>
</file>

<file path=word/webSettings.xml><?xml version="1.0" encoding="utf-8"?>
<w:webSettings xmlns:r="http://schemas.openxmlformats.org/officeDocument/2006/relationships" xmlns:w="http://schemas.openxmlformats.org/wordprocessingml/2006/main">
  <w:divs>
    <w:div w:id="7937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ucn.org/mediterranean"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1930</Words>
  <Characters>10619</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maher.mahjoub</dc:creator>
  <cp:lastModifiedBy>maher.mahjoub</cp:lastModifiedBy>
  <cp:revision>6</cp:revision>
  <dcterms:created xsi:type="dcterms:W3CDTF">2014-07-24T11:55:00Z</dcterms:created>
  <dcterms:modified xsi:type="dcterms:W3CDTF">2014-07-24T12:08:00Z</dcterms:modified>
</cp:coreProperties>
</file>